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82B36">
      <w:pPr>
        <w:spacing w:before="120" w:beforeLines="50"/>
        <w:jc w:val="center"/>
        <w:rPr>
          <w:rFonts w:ascii="Arial" w:hAnsi="Arial" w:cs="Arial"/>
          <w:b/>
          <w:bCs/>
          <w:sz w:val="52"/>
          <w:szCs w:val="52"/>
        </w:rPr>
      </w:pPr>
      <w:bookmarkStart w:id="96" w:name="_GoBack"/>
      <w:bookmarkEnd w:id="96"/>
      <w:r>
        <w:rPr>
          <w:rFonts w:ascii="Arial" w:hAnsi="Arial" w:cs="Arial"/>
          <w:b/>
          <w:bCs/>
          <w:sz w:val="52"/>
        </w:rPr>
        <w:t>广西同泽工程项目管理股份有限公司</w:t>
      </w:r>
    </w:p>
    <w:p w14:paraId="1B3EA477">
      <w:pPr>
        <w:spacing w:before="120" w:beforeLines="50"/>
        <w:jc w:val="center"/>
        <w:rPr>
          <w:rFonts w:ascii="Arial" w:hAnsi="Arial" w:cs="Arial"/>
          <w:b/>
          <w:bCs/>
          <w:sz w:val="72"/>
          <w:szCs w:val="72"/>
        </w:rPr>
      </w:pPr>
    </w:p>
    <w:p w14:paraId="4D3827A5">
      <w:pPr>
        <w:spacing w:before="120" w:beforeLines="50"/>
        <w:jc w:val="center"/>
        <w:rPr>
          <w:rFonts w:ascii="Arial" w:hAnsi="Arial" w:cs="Arial"/>
          <w:b/>
          <w:bCs/>
          <w:sz w:val="48"/>
          <w:szCs w:val="48"/>
        </w:rPr>
      </w:pPr>
      <w:r>
        <w:rPr>
          <w:rFonts w:hint="eastAsia" w:ascii="Arial" w:hAnsi="Arial" w:cs="Arial"/>
          <w:b/>
          <w:bCs/>
          <w:sz w:val="70"/>
          <w:szCs w:val="48"/>
        </w:rPr>
        <w:t>公开招标</w:t>
      </w:r>
      <w:r>
        <w:rPr>
          <w:rFonts w:ascii="Arial" w:hAnsi="Arial" w:cs="Arial"/>
          <w:b/>
          <w:bCs/>
          <w:sz w:val="70"/>
          <w:szCs w:val="48"/>
        </w:rPr>
        <w:t>采购文件</w:t>
      </w:r>
    </w:p>
    <w:p w14:paraId="7E55CA8A">
      <w:pPr>
        <w:spacing w:before="120" w:beforeLines="50"/>
        <w:jc w:val="center"/>
        <w:rPr>
          <w:rFonts w:ascii="Arial" w:hAnsi="Arial" w:cs="Arial"/>
          <w:b/>
          <w:bCs/>
          <w:sz w:val="48"/>
          <w:szCs w:val="48"/>
        </w:rPr>
      </w:pPr>
      <w:r>
        <w:rPr>
          <w:rFonts w:hint="eastAsia" w:ascii="宋体" w:hAnsi="宋体" w:cs="宋体"/>
          <w:b/>
          <w:bCs/>
          <w:sz w:val="48"/>
          <w:szCs w:val="48"/>
        </w:rPr>
        <w:drawing>
          <wp:anchor distT="0" distB="0" distL="114300" distR="114300" simplePos="0" relativeHeight="251663360" behindDoc="1" locked="0" layoutInCell="1" allowOverlap="1">
            <wp:simplePos x="0" y="0"/>
            <wp:positionH relativeFrom="column">
              <wp:posOffset>707390</wp:posOffset>
            </wp:positionH>
            <wp:positionV relativeFrom="paragraph">
              <wp:posOffset>401320</wp:posOffset>
            </wp:positionV>
            <wp:extent cx="4057650" cy="2971800"/>
            <wp:effectExtent l="0" t="0" r="0" b="0"/>
            <wp:wrapTight wrapText="bothSides">
              <wp:wrapPolygon>
                <wp:start x="7808" y="1385"/>
                <wp:lineTo x="7504" y="1523"/>
                <wp:lineTo x="5983" y="3462"/>
                <wp:lineTo x="5375" y="4846"/>
                <wp:lineTo x="5577" y="5677"/>
                <wp:lineTo x="9025" y="5815"/>
                <wp:lineTo x="4158" y="13431"/>
                <wp:lineTo x="3955" y="13985"/>
                <wp:lineTo x="4158" y="15646"/>
                <wp:lineTo x="8823" y="16892"/>
                <wp:lineTo x="7808" y="16892"/>
                <wp:lineTo x="7301" y="17169"/>
                <wp:lineTo x="7301" y="19662"/>
                <wp:lineTo x="11358" y="21323"/>
                <wp:lineTo x="12575" y="21462"/>
                <wp:lineTo x="13386" y="21462"/>
                <wp:lineTo x="13386" y="21323"/>
                <wp:lineTo x="13994" y="19108"/>
                <wp:lineTo x="14197" y="18138"/>
                <wp:lineTo x="13893" y="16892"/>
                <wp:lineTo x="14501" y="15923"/>
                <wp:lineTo x="14501" y="14677"/>
                <wp:lineTo x="15921" y="12877"/>
                <wp:lineTo x="15921" y="12462"/>
                <wp:lineTo x="16631" y="11077"/>
                <wp:lineTo x="16225" y="10385"/>
                <wp:lineTo x="12980" y="10246"/>
                <wp:lineTo x="16023" y="5815"/>
                <wp:lineTo x="16935" y="4015"/>
                <wp:lineTo x="17645" y="3462"/>
                <wp:lineTo x="17949" y="1938"/>
                <wp:lineTo x="17645" y="1385"/>
                <wp:lineTo x="7808" y="1385"/>
              </wp:wrapPolygon>
            </wp:wrapTight>
            <wp:docPr id="2" name="图片 3"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首选）同泽logo -"/>
                    <pic:cNvPicPr>
                      <a:picLocks noChangeAspect="1"/>
                    </pic:cNvPicPr>
                  </pic:nvPicPr>
                  <pic:blipFill>
                    <a:blip r:embed="rId11" cstate="print"/>
                    <a:stretch>
                      <a:fillRect/>
                    </a:stretch>
                  </pic:blipFill>
                  <pic:spPr>
                    <a:xfrm>
                      <a:off x="0" y="0"/>
                      <a:ext cx="4057650" cy="2971800"/>
                    </a:xfrm>
                    <a:prstGeom prst="rect">
                      <a:avLst/>
                    </a:prstGeom>
                    <a:noFill/>
                    <a:ln>
                      <a:noFill/>
                    </a:ln>
                  </pic:spPr>
                </pic:pic>
              </a:graphicData>
            </a:graphic>
          </wp:anchor>
        </w:drawing>
      </w:r>
    </w:p>
    <w:p w14:paraId="3C481C06">
      <w:pPr>
        <w:spacing w:before="120" w:beforeLines="50"/>
        <w:jc w:val="center"/>
        <w:rPr>
          <w:rFonts w:ascii="Arial" w:hAnsi="Arial" w:cs="Arial"/>
          <w:b/>
          <w:bCs/>
          <w:sz w:val="48"/>
          <w:szCs w:val="48"/>
        </w:rPr>
      </w:pPr>
    </w:p>
    <w:p w14:paraId="3567F0D1">
      <w:pPr>
        <w:spacing w:before="120" w:beforeLines="50"/>
        <w:jc w:val="center"/>
        <w:rPr>
          <w:rFonts w:ascii="Arial" w:hAnsi="Arial" w:cs="Arial"/>
          <w:b/>
          <w:bCs/>
          <w:sz w:val="72"/>
          <w:szCs w:val="72"/>
        </w:rPr>
      </w:pPr>
    </w:p>
    <w:p w14:paraId="6F8E4535">
      <w:pPr>
        <w:snapToGrid w:val="0"/>
        <w:spacing w:before="120" w:beforeLines="50" w:line="360" w:lineRule="auto"/>
        <w:rPr>
          <w:rFonts w:ascii="Arial" w:hAnsi="Arial" w:cs="Arial"/>
          <w:sz w:val="30"/>
          <w:szCs w:val="72"/>
        </w:rPr>
      </w:pPr>
    </w:p>
    <w:p w14:paraId="400206CD">
      <w:pPr>
        <w:snapToGrid w:val="0"/>
        <w:spacing w:before="120" w:beforeLines="50" w:line="360" w:lineRule="auto"/>
        <w:jc w:val="center"/>
        <w:rPr>
          <w:rFonts w:ascii="Arial" w:hAnsi="Arial" w:cs="Arial"/>
          <w:b/>
          <w:sz w:val="32"/>
          <w:szCs w:val="72"/>
        </w:rPr>
      </w:pPr>
      <w:r>
        <w:rPr>
          <w:rFonts w:ascii="Arial" w:hAnsi="Arial" w:cs="Arial"/>
          <w:b/>
          <w:sz w:val="30"/>
          <w:szCs w:val="72"/>
        </w:rPr>
        <w:t xml:space="preserve">     </w:t>
      </w:r>
    </w:p>
    <w:p w14:paraId="28CBCCC0">
      <w:pPr>
        <w:snapToGrid w:val="0"/>
        <w:spacing w:before="120" w:beforeLines="50" w:line="700" w:lineRule="exact"/>
        <w:ind w:left="1751" w:hanging="1751" w:hangingChars="545"/>
        <w:jc w:val="left"/>
        <w:rPr>
          <w:rFonts w:ascii="Arial" w:hAnsi="Arial" w:cs="Arial"/>
          <w:b/>
          <w:sz w:val="32"/>
          <w:szCs w:val="72"/>
        </w:rPr>
      </w:pPr>
      <w:r>
        <w:rPr>
          <w:rFonts w:ascii="Arial" w:hAnsi="Arial" w:cs="Arial"/>
          <w:b/>
          <w:sz w:val="32"/>
          <w:szCs w:val="72"/>
        </w:rPr>
        <w:t xml:space="preserve">  </w:t>
      </w:r>
    </w:p>
    <w:p w14:paraId="2D7AB945">
      <w:pPr>
        <w:snapToGrid w:val="0"/>
        <w:spacing w:before="120" w:beforeLines="50" w:line="700" w:lineRule="exact"/>
        <w:jc w:val="left"/>
        <w:rPr>
          <w:rFonts w:ascii="Arial" w:hAnsi="Arial" w:cs="Arial"/>
          <w:b/>
          <w:sz w:val="32"/>
          <w:szCs w:val="72"/>
        </w:rPr>
      </w:pPr>
    </w:p>
    <w:p w14:paraId="58224589">
      <w:pPr>
        <w:snapToGrid w:val="0"/>
        <w:spacing w:before="120" w:beforeLines="50" w:line="700" w:lineRule="exact"/>
        <w:jc w:val="left"/>
        <w:rPr>
          <w:rFonts w:ascii="Arial" w:hAnsi="Arial" w:cs="Arial"/>
          <w:b/>
          <w:sz w:val="32"/>
          <w:szCs w:val="72"/>
        </w:rPr>
      </w:pPr>
      <w:r>
        <w:rPr>
          <w:rFonts w:ascii="Arial" w:hAnsi="Arial" w:cs="Arial"/>
          <w:b/>
          <w:sz w:val="32"/>
          <w:szCs w:val="72"/>
        </w:rPr>
        <w:t xml:space="preserve">  </w:t>
      </w:r>
    </w:p>
    <w:p w14:paraId="35D27ED3">
      <w:pPr>
        <w:snapToGrid w:val="0"/>
        <w:spacing w:before="120" w:beforeLines="50" w:line="700" w:lineRule="exact"/>
        <w:ind w:left="1725" w:leftChars="152" w:hanging="1406" w:hangingChars="500"/>
        <w:jc w:val="left"/>
        <w:rPr>
          <w:rFonts w:ascii="Arial" w:hAnsi="Arial" w:cs="Arial"/>
          <w:b/>
          <w:sz w:val="32"/>
          <w:szCs w:val="72"/>
        </w:rPr>
      </w:pPr>
      <w:r>
        <w:rPr>
          <w:rFonts w:ascii="Arial" w:hAnsi="Arial" w:cs="Arial"/>
          <w:b/>
          <w:spacing w:val="-20"/>
          <w:sz w:val="32"/>
          <w:szCs w:val="32"/>
        </w:rPr>
        <w:t>项目名称：</w:t>
      </w:r>
      <w:bookmarkStart w:id="0" w:name="OLE_LINK3"/>
      <w:r>
        <w:rPr>
          <w:rFonts w:hint="eastAsia" w:ascii="Arial" w:hAnsi="Arial" w:cs="Arial"/>
          <w:b/>
          <w:spacing w:val="-20"/>
          <w:sz w:val="32"/>
          <w:szCs w:val="32"/>
        </w:rPr>
        <w:t>实训教学模型及互联互通虚拟教学一体化平台采购安装项目</w:t>
      </w:r>
    </w:p>
    <w:bookmarkEnd w:id="0"/>
    <w:p w14:paraId="67582743">
      <w:pPr>
        <w:pStyle w:val="11"/>
        <w:snapToGrid w:val="0"/>
        <w:spacing w:before="120" w:line="700" w:lineRule="exact"/>
        <w:rPr>
          <w:rFonts w:ascii="Arial" w:hAnsi="Arial" w:cs="Arial"/>
          <w:b/>
          <w:sz w:val="32"/>
          <w:szCs w:val="30"/>
        </w:rPr>
      </w:pPr>
      <w:r>
        <w:rPr>
          <w:rFonts w:ascii="Arial" w:hAnsi="Arial" w:cs="Arial"/>
          <w:b/>
          <w:sz w:val="32"/>
          <w:szCs w:val="72"/>
        </w:rPr>
        <w:t xml:space="preserve">  项目编号</w:t>
      </w:r>
      <w:r>
        <w:rPr>
          <w:rFonts w:ascii="Arial" w:hAnsi="Arial" w:cs="Arial"/>
          <w:b/>
          <w:sz w:val="32"/>
          <w:szCs w:val="30"/>
        </w:rPr>
        <w:t>：</w:t>
      </w:r>
      <w:r>
        <w:rPr>
          <w:rFonts w:hint="eastAsia" w:ascii="Arial" w:hAnsi="Arial" w:cs="Arial"/>
          <w:b/>
          <w:sz w:val="32"/>
          <w:szCs w:val="30"/>
          <w:lang w:eastAsia="zh-CN"/>
        </w:rPr>
        <w:t>GXZC2024-G1-005820-GXTZ</w:t>
      </w:r>
      <w:r>
        <w:rPr>
          <w:rFonts w:hint="eastAsia" w:ascii="Arial" w:hAnsi="Arial" w:cs="Arial"/>
          <w:b/>
          <w:sz w:val="32"/>
          <w:szCs w:val="30"/>
        </w:rPr>
        <w:t xml:space="preserve"> </w:t>
      </w:r>
    </w:p>
    <w:p w14:paraId="3BE72189">
      <w:pPr>
        <w:pStyle w:val="11"/>
        <w:snapToGrid w:val="0"/>
        <w:spacing w:before="120" w:line="700" w:lineRule="exact"/>
        <w:ind w:firstLine="321" w:firstLineChars="100"/>
        <w:rPr>
          <w:rFonts w:ascii="Arial" w:hAnsi="Arial" w:cs="Arial"/>
          <w:b/>
          <w:sz w:val="32"/>
          <w:szCs w:val="32"/>
        </w:rPr>
      </w:pPr>
      <w:r>
        <w:rPr>
          <w:rFonts w:hint="eastAsia" w:ascii="Arial" w:hAnsi="Arial" w:cs="Arial"/>
          <w:b/>
          <w:sz w:val="32"/>
          <w:szCs w:val="32"/>
        </w:rPr>
        <w:t>采购</w:t>
      </w:r>
      <w:r>
        <w:rPr>
          <w:rFonts w:ascii="Arial" w:hAnsi="Arial" w:cs="Arial"/>
          <w:b/>
          <w:sz w:val="32"/>
          <w:szCs w:val="32"/>
        </w:rPr>
        <w:t>单位：</w:t>
      </w:r>
      <w:r>
        <w:rPr>
          <w:rFonts w:hint="eastAsia" w:ascii="Arial" w:hAnsi="Arial" w:cs="Arial"/>
          <w:b/>
          <w:sz w:val="32"/>
          <w:szCs w:val="32"/>
        </w:rPr>
        <w:t>广西壮族自治区胸科医院</w:t>
      </w:r>
    </w:p>
    <w:p w14:paraId="2CFE69B3">
      <w:pPr>
        <w:snapToGrid w:val="0"/>
        <w:spacing w:before="120" w:beforeLines="50" w:line="700" w:lineRule="exact"/>
        <w:jc w:val="left"/>
        <w:rPr>
          <w:rFonts w:ascii="Arial" w:hAnsi="Arial" w:cs="Arial"/>
          <w:b/>
          <w:bCs/>
          <w:w w:val="95"/>
          <w:sz w:val="30"/>
          <w:szCs w:val="30"/>
        </w:rPr>
      </w:pPr>
      <w:r>
        <w:rPr>
          <w:rFonts w:ascii="Arial" w:hAnsi="Arial" w:cs="Arial"/>
          <w:b/>
          <w:sz w:val="32"/>
          <w:szCs w:val="32"/>
        </w:rPr>
        <w:t xml:space="preserve">  </w:t>
      </w:r>
      <w:r>
        <w:rPr>
          <w:rFonts w:hint="eastAsia" w:ascii="Arial" w:hAnsi="Arial" w:cs="Arial"/>
          <w:b/>
          <w:sz w:val="32"/>
          <w:szCs w:val="32"/>
        </w:rPr>
        <w:t>采购</w:t>
      </w:r>
      <w:r>
        <w:rPr>
          <w:rFonts w:ascii="Arial" w:hAnsi="Arial" w:cs="Arial"/>
          <w:b/>
          <w:sz w:val="32"/>
          <w:szCs w:val="32"/>
        </w:rPr>
        <w:t>代理机构：广西同泽工程项目管理股份有限公司</w:t>
      </w:r>
      <w:r>
        <w:rPr>
          <w:rFonts w:ascii="Arial" w:hAnsi="Arial" w:cs="Arial"/>
          <w:b/>
          <w:bCs/>
          <w:w w:val="95"/>
          <w:sz w:val="30"/>
          <w:szCs w:val="30"/>
        </w:rPr>
        <w:t xml:space="preserve">        </w:t>
      </w:r>
    </w:p>
    <w:p w14:paraId="3729C534">
      <w:pPr>
        <w:pStyle w:val="11"/>
        <w:snapToGrid w:val="0"/>
        <w:spacing w:before="120" w:after="120" w:line="360" w:lineRule="auto"/>
        <w:jc w:val="center"/>
        <w:rPr>
          <w:rFonts w:ascii="Arial" w:hAnsi="Arial" w:cs="Arial"/>
          <w:b/>
          <w:bCs/>
          <w:w w:val="95"/>
          <w:sz w:val="30"/>
          <w:szCs w:val="30"/>
        </w:rPr>
      </w:pPr>
    </w:p>
    <w:p w14:paraId="587F392D">
      <w:pPr>
        <w:spacing w:line="360" w:lineRule="auto"/>
        <w:jc w:val="center"/>
        <w:rPr>
          <w:b/>
          <w:sz w:val="52"/>
          <w:szCs w:val="52"/>
        </w:rPr>
      </w:pPr>
      <w:r>
        <w:rPr>
          <w:rFonts w:hint="eastAsia" w:ascii="Arial" w:hAnsi="Arial" w:cs="Arial"/>
          <w:b/>
          <w:bCs/>
          <w:w w:val="95"/>
          <w:sz w:val="30"/>
          <w:szCs w:val="30"/>
        </w:rPr>
        <w:t>2024</w:t>
      </w:r>
      <w:r>
        <w:rPr>
          <w:rFonts w:ascii="Arial" w:hAnsi="Arial" w:cs="Arial"/>
          <w:b/>
          <w:bCs/>
          <w:w w:val="95"/>
          <w:sz w:val="30"/>
          <w:szCs w:val="30"/>
        </w:rPr>
        <w:t>年</w:t>
      </w:r>
      <w:r>
        <w:rPr>
          <w:rFonts w:hint="eastAsia" w:ascii="Arial" w:hAnsi="Arial" w:cs="Arial"/>
          <w:b/>
          <w:bCs/>
          <w:w w:val="95"/>
          <w:sz w:val="30"/>
          <w:szCs w:val="30"/>
        </w:rPr>
        <w:t>10</w:t>
      </w:r>
      <w:r>
        <w:rPr>
          <w:rFonts w:ascii="Arial" w:hAnsi="Arial" w:cs="Arial"/>
          <w:b/>
          <w:bCs/>
          <w:w w:val="95"/>
          <w:sz w:val="30"/>
          <w:szCs w:val="30"/>
        </w:rPr>
        <w:t>月</w:t>
      </w:r>
    </w:p>
    <w:p w14:paraId="23C152A9"/>
    <w:p w14:paraId="4A8CD2AB"/>
    <w:p w14:paraId="177AC995">
      <w:pPr>
        <w:spacing w:line="360" w:lineRule="auto"/>
        <w:jc w:val="center"/>
        <w:rPr>
          <w:sz w:val="32"/>
          <w:szCs w:val="32"/>
        </w:rPr>
      </w:pPr>
      <w:r>
        <w:rPr>
          <w:rFonts w:hint="eastAsia"/>
          <w:b/>
          <w:sz w:val="32"/>
          <w:szCs w:val="32"/>
        </w:rPr>
        <w:t>目  录</w:t>
      </w:r>
    </w:p>
    <w:p w14:paraId="5C941C57"/>
    <w:p w14:paraId="39100CD3"/>
    <w:p w14:paraId="37C8BE9D">
      <w:pPr>
        <w:pStyle w:val="14"/>
        <w:tabs>
          <w:tab w:val="right" w:leader="dot" w:pos="9026"/>
        </w:tabs>
        <w:spacing w:line="480" w:lineRule="auto"/>
        <w:rPr>
          <w:b w:val="0"/>
          <w:bCs w:val="0"/>
          <w:sz w:val="28"/>
          <w:szCs w:val="28"/>
        </w:rPr>
      </w:pPr>
      <w:r>
        <w:rPr>
          <w:rFonts w:hint="eastAsia" w:ascii="仿宋" w:hAnsi="仿宋" w:eastAsia="仿宋" w:cs="仿宋"/>
          <w:b w:val="0"/>
          <w:bCs w:val="0"/>
          <w:sz w:val="28"/>
          <w:szCs w:val="28"/>
        </w:rPr>
        <w:fldChar w:fldCharType="begin"/>
      </w:r>
      <w:r>
        <w:rPr>
          <w:rFonts w:hint="eastAsia" w:ascii="仿宋" w:hAnsi="仿宋" w:eastAsia="仿宋" w:cs="仿宋"/>
          <w:b w:val="0"/>
          <w:bCs w:val="0"/>
          <w:sz w:val="28"/>
          <w:szCs w:val="28"/>
        </w:rPr>
        <w:instrText xml:space="preserve"> TOC \o "1-1" \h \z \u </w:instrText>
      </w:r>
      <w:r>
        <w:rPr>
          <w:rFonts w:hint="eastAsia" w:ascii="仿宋" w:hAnsi="仿宋" w:eastAsia="仿宋" w:cs="仿宋"/>
          <w:b w:val="0"/>
          <w:bCs w:val="0"/>
          <w:sz w:val="28"/>
          <w:szCs w:val="28"/>
        </w:rPr>
        <w:fldChar w:fldCharType="separate"/>
      </w:r>
      <w:r>
        <w:fldChar w:fldCharType="begin"/>
      </w:r>
      <w:r>
        <w:instrText xml:space="preserve"> HYPERLINK \l "_Toc13736" </w:instrText>
      </w:r>
      <w:r>
        <w:fldChar w:fldCharType="separate"/>
      </w:r>
      <w:r>
        <w:rPr>
          <w:rFonts w:hint="eastAsia"/>
          <w:b w:val="0"/>
          <w:bCs w:val="0"/>
          <w:sz w:val="28"/>
          <w:szCs w:val="28"/>
        </w:rPr>
        <w:t>第一章 公开招标公告</w:t>
      </w:r>
      <w:r>
        <w:rPr>
          <w:b w:val="0"/>
          <w:bCs w:val="0"/>
          <w:sz w:val="28"/>
          <w:szCs w:val="28"/>
        </w:rPr>
        <w:tab/>
      </w:r>
      <w:r>
        <w:rPr>
          <w:b w:val="0"/>
          <w:bCs w:val="0"/>
          <w:sz w:val="28"/>
          <w:szCs w:val="28"/>
        </w:rPr>
        <w:fldChar w:fldCharType="begin"/>
      </w:r>
      <w:r>
        <w:rPr>
          <w:b w:val="0"/>
          <w:bCs w:val="0"/>
          <w:sz w:val="28"/>
          <w:szCs w:val="28"/>
        </w:rPr>
        <w:instrText xml:space="preserve"> PAGEREF _Toc13736 \h </w:instrText>
      </w:r>
      <w:r>
        <w:rPr>
          <w:b w:val="0"/>
          <w:bCs w:val="0"/>
          <w:sz w:val="28"/>
          <w:szCs w:val="28"/>
        </w:rPr>
        <w:fldChar w:fldCharType="separate"/>
      </w:r>
      <w:r>
        <w:rPr>
          <w:b w:val="0"/>
          <w:bCs w:val="0"/>
          <w:sz w:val="28"/>
          <w:szCs w:val="28"/>
        </w:rPr>
        <w:t>1</w:t>
      </w:r>
      <w:r>
        <w:rPr>
          <w:b w:val="0"/>
          <w:bCs w:val="0"/>
          <w:sz w:val="28"/>
          <w:szCs w:val="28"/>
        </w:rPr>
        <w:fldChar w:fldCharType="end"/>
      </w:r>
      <w:r>
        <w:rPr>
          <w:b w:val="0"/>
          <w:bCs w:val="0"/>
          <w:sz w:val="28"/>
          <w:szCs w:val="28"/>
        </w:rPr>
        <w:fldChar w:fldCharType="end"/>
      </w:r>
    </w:p>
    <w:p w14:paraId="2B455D36">
      <w:pPr>
        <w:pStyle w:val="14"/>
        <w:tabs>
          <w:tab w:val="right" w:leader="dot" w:pos="9026"/>
        </w:tabs>
        <w:spacing w:line="480" w:lineRule="auto"/>
        <w:rPr>
          <w:b w:val="0"/>
          <w:bCs w:val="0"/>
          <w:sz w:val="28"/>
          <w:szCs w:val="28"/>
        </w:rPr>
      </w:pPr>
      <w:r>
        <w:fldChar w:fldCharType="begin"/>
      </w:r>
      <w:r>
        <w:instrText xml:space="preserve"> HYPERLINK \l "_Toc4695" </w:instrText>
      </w:r>
      <w:r>
        <w:fldChar w:fldCharType="separate"/>
      </w:r>
      <w:r>
        <w:rPr>
          <w:rFonts w:hint="eastAsia"/>
          <w:b w:val="0"/>
          <w:bCs w:val="0"/>
          <w:sz w:val="28"/>
          <w:szCs w:val="28"/>
        </w:rPr>
        <w:t>第二章 采购需求</w:t>
      </w:r>
      <w:r>
        <w:rPr>
          <w:b w:val="0"/>
          <w:bCs w:val="0"/>
          <w:sz w:val="28"/>
          <w:szCs w:val="28"/>
        </w:rPr>
        <w:tab/>
      </w:r>
      <w:r>
        <w:rPr>
          <w:b w:val="0"/>
          <w:bCs w:val="0"/>
          <w:sz w:val="28"/>
          <w:szCs w:val="28"/>
        </w:rPr>
        <w:fldChar w:fldCharType="begin"/>
      </w:r>
      <w:r>
        <w:rPr>
          <w:b w:val="0"/>
          <w:bCs w:val="0"/>
          <w:sz w:val="28"/>
          <w:szCs w:val="28"/>
        </w:rPr>
        <w:instrText xml:space="preserve"> PAGEREF _Toc4695 \h </w:instrText>
      </w:r>
      <w:r>
        <w:rPr>
          <w:b w:val="0"/>
          <w:bCs w:val="0"/>
          <w:sz w:val="28"/>
          <w:szCs w:val="28"/>
        </w:rPr>
        <w:fldChar w:fldCharType="separate"/>
      </w:r>
      <w:r>
        <w:rPr>
          <w:b w:val="0"/>
          <w:bCs w:val="0"/>
          <w:sz w:val="28"/>
          <w:szCs w:val="28"/>
        </w:rPr>
        <w:t>5</w:t>
      </w:r>
      <w:r>
        <w:rPr>
          <w:b w:val="0"/>
          <w:bCs w:val="0"/>
          <w:sz w:val="28"/>
          <w:szCs w:val="28"/>
        </w:rPr>
        <w:fldChar w:fldCharType="end"/>
      </w:r>
      <w:r>
        <w:rPr>
          <w:b w:val="0"/>
          <w:bCs w:val="0"/>
          <w:sz w:val="28"/>
          <w:szCs w:val="28"/>
        </w:rPr>
        <w:fldChar w:fldCharType="end"/>
      </w:r>
    </w:p>
    <w:p w14:paraId="1F15A1BB">
      <w:pPr>
        <w:pStyle w:val="14"/>
        <w:tabs>
          <w:tab w:val="right" w:leader="dot" w:pos="9026"/>
        </w:tabs>
        <w:spacing w:line="480" w:lineRule="auto"/>
        <w:rPr>
          <w:b w:val="0"/>
          <w:bCs w:val="0"/>
          <w:sz w:val="28"/>
          <w:szCs w:val="28"/>
        </w:rPr>
      </w:pPr>
      <w:r>
        <w:fldChar w:fldCharType="begin"/>
      </w:r>
      <w:r>
        <w:instrText xml:space="preserve"> HYPERLINK \l "_Toc6137" </w:instrText>
      </w:r>
      <w:r>
        <w:fldChar w:fldCharType="separate"/>
      </w:r>
      <w:r>
        <w:rPr>
          <w:rFonts w:hint="eastAsia" w:ascii="Times New Roman" w:hAnsi="Times New Roman"/>
          <w:b w:val="0"/>
          <w:bCs w:val="0"/>
          <w:sz w:val="28"/>
          <w:szCs w:val="28"/>
        </w:rPr>
        <w:t>第三章 投标人须知</w:t>
      </w:r>
      <w:r>
        <w:rPr>
          <w:b w:val="0"/>
          <w:bCs w:val="0"/>
          <w:sz w:val="28"/>
          <w:szCs w:val="28"/>
        </w:rPr>
        <w:tab/>
      </w:r>
      <w:r>
        <w:rPr>
          <w:b w:val="0"/>
          <w:bCs w:val="0"/>
          <w:sz w:val="28"/>
          <w:szCs w:val="28"/>
        </w:rPr>
        <w:fldChar w:fldCharType="begin"/>
      </w:r>
      <w:r>
        <w:rPr>
          <w:b w:val="0"/>
          <w:bCs w:val="0"/>
          <w:sz w:val="28"/>
          <w:szCs w:val="28"/>
        </w:rPr>
        <w:instrText xml:space="preserve"> PAGEREF _Toc6137 \h </w:instrText>
      </w:r>
      <w:r>
        <w:rPr>
          <w:b w:val="0"/>
          <w:bCs w:val="0"/>
          <w:sz w:val="28"/>
          <w:szCs w:val="28"/>
        </w:rPr>
        <w:fldChar w:fldCharType="separate"/>
      </w:r>
      <w:r>
        <w:rPr>
          <w:b w:val="0"/>
          <w:bCs w:val="0"/>
          <w:sz w:val="28"/>
          <w:szCs w:val="28"/>
        </w:rPr>
        <w:t>41</w:t>
      </w:r>
      <w:r>
        <w:rPr>
          <w:b w:val="0"/>
          <w:bCs w:val="0"/>
          <w:sz w:val="28"/>
          <w:szCs w:val="28"/>
        </w:rPr>
        <w:fldChar w:fldCharType="end"/>
      </w:r>
      <w:r>
        <w:rPr>
          <w:b w:val="0"/>
          <w:bCs w:val="0"/>
          <w:sz w:val="28"/>
          <w:szCs w:val="28"/>
        </w:rPr>
        <w:fldChar w:fldCharType="end"/>
      </w:r>
    </w:p>
    <w:p w14:paraId="1BEA56DB">
      <w:pPr>
        <w:pStyle w:val="14"/>
        <w:tabs>
          <w:tab w:val="right" w:leader="dot" w:pos="9026"/>
        </w:tabs>
        <w:spacing w:line="480" w:lineRule="auto"/>
        <w:rPr>
          <w:b w:val="0"/>
          <w:bCs w:val="0"/>
          <w:sz w:val="28"/>
          <w:szCs w:val="28"/>
        </w:rPr>
      </w:pPr>
      <w:r>
        <w:fldChar w:fldCharType="begin"/>
      </w:r>
      <w:r>
        <w:instrText xml:space="preserve"> HYPERLINK \l "_Toc30383" </w:instrText>
      </w:r>
      <w:r>
        <w:fldChar w:fldCharType="separate"/>
      </w:r>
      <w:r>
        <w:rPr>
          <w:rFonts w:hint="eastAsia"/>
          <w:b w:val="0"/>
          <w:bCs w:val="0"/>
          <w:sz w:val="28"/>
          <w:szCs w:val="28"/>
        </w:rPr>
        <w:t>第四章 评标方法及评标标准</w:t>
      </w:r>
      <w:r>
        <w:rPr>
          <w:b w:val="0"/>
          <w:bCs w:val="0"/>
          <w:sz w:val="28"/>
          <w:szCs w:val="28"/>
        </w:rPr>
        <w:tab/>
      </w:r>
      <w:r>
        <w:rPr>
          <w:b w:val="0"/>
          <w:bCs w:val="0"/>
          <w:sz w:val="28"/>
          <w:szCs w:val="28"/>
        </w:rPr>
        <w:fldChar w:fldCharType="begin"/>
      </w:r>
      <w:r>
        <w:rPr>
          <w:b w:val="0"/>
          <w:bCs w:val="0"/>
          <w:sz w:val="28"/>
          <w:szCs w:val="28"/>
        </w:rPr>
        <w:instrText xml:space="preserve"> PAGEREF _Toc30383 \h </w:instrText>
      </w:r>
      <w:r>
        <w:rPr>
          <w:b w:val="0"/>
          <w:bCs w:val="0"/>
          <w:sz w:val="28"/>
          <w:szCs w:val="28"/>
        </w:rPr>
        <w:fldChar w:fldCharType="separate"/>
      </w:r>
      <w:r>
        <w:rPr>
          <w:b w:val="0"/>
          <w:bCs w:val="0"/>
          <w:sz w:val="28"/>
          <w:szCs w:val="28"/>
        </w:rPr>
        <w:t>54</w:t>
      </w:r>
      <w:r>
        <w:rPr>
          <w:b w:val="0"/>
          <w:bCs w:val="0"/>
          <w:sz w:val="28"/>
          <w:szCs w:val="28"/>
        </w:rPr>
        <w:fldChar w:fldCharType="end"/>
      </w:r>
      <w:r>
        <w:rPr>
          <w:b w:val="0"/>
          <w:bCs w:val="0"/>
          <w:sz w:val="28"/>
          <w:szCs w:val="28"/>
        </w:rPr>
        <w:fldChar w:fldCharType="end"/>
      </w:r>
    </w:p>
    <w:p w14:paraId="0812D3D2">
      <w:pPr>
        <w:pStyle w:val="14"/>
        <w:tabs>
          <w:tab w:val="right" w:leader="dot" w:pos="9026"/>
        </w:tabs>
        <w:spacing w:line="480" w:lineRule="auto"/>
        <w:rPr>
          <w:b w:val="0"/>
          <w:bCs w:val="0"/>
          <w:sz w:val="28"/>
          <w:szCs w:val="28"/>
        </w:rPr>
      </w:pPr>
      <w:r>
        <w:fldChar w:fldCharType="begin"/>
      </w:r>
      <w:r>
        <w:instrText xml:space="preserve"> HYPERLINK \l "_Toc934" </w:instrText>
      </w:r>
      <w:r>
        <w:fldChar w:fldCharType="separate"/>
      </w:r>
      <w:r>
        <w:rPr>
          <w:rFonts w:hint="eastAsia"/>
          <w:b w:val="0"/>
          <w:bCs w:val="0"/>
          <w:sz w:val="28"/>
          <w:szCs w:val="28"/>
        </w:rPr>
        <w:t>第五章 合同主要条款格式及合同验收书格式</w:t>
      </w:r>
      <w:r>
        <w:rPr>
          <w:b w:val="0"/>
          <w:bCs w:val="0"/>
          <w:sz w:val="28"/>
          <w:szCs w:val="28"/>
        </w:rPr>
        <w:tab/>
      </w:r>
      <w:r>
        <w:rPr>
          <w:b w:val="0"/>
          <w:bCs w:val="0"/>
          <w:sz w:val="28"/>
          <w:szCs w:val="28"/>
        </w:rPr>
        <w:fldChar w:fldCharType="begin"/>
      </w:r>
      <w:r>
        <w:rPr>
          <w:b w:val="0"/>
          <w:bCs w:val="0"/>
          <w:sz w:val="28"/>
          <w:szCs w:val="28"/>
        </w:rPr>
        <w:instrText xml:space="preserve"> PAGEREF _Toc934 \h </w:instrText>
      </w:r>
      <w:r>
        <w:rPr>
          <w:b w:val="0"/>
          <w:bCs w:val="0"/>
          <w:sz w:val="28"/>
          <w:szCs w:val="28"/>
        </w:rPr>
        <w:fldChar w:fldCharType="separate"/>
      </w:r>
      <w:r>
        <w:rPr>
          <w:b w:val="0"/>
          <w:bCs w:val="0"/>
          <w:sz w:val="28"/>
          <w:szCs w:val="28"/>
        </w:rPr>
        <w:t>62</w:t>
      </w:r>
      <w:r>
        <w:rPr>
          <w:b w:val="0"/>
          <w:bCs w:val="0"/>
          <w:sz w:val="28"/>
          <w:szCs w:val="28"/>
        </w:rPr>
        <w:fldChar w:fldCharType="end"/>
      </w:r>
      <w:r>
        <w:rPr>
          <w:b w:val="0"/>
          <w:bCs w:val="0"/>
          <w:sz w:val="28"/>
          <w:szCs w:val="28"/>
        </w:rPr>
        <w:fldChar w:fldCharType="end"/>
      </w:r>
    </w:p>
    <w:p w14:paraId="5554E4F9">
      <w:pPr>
        <w:pStyle w:val="14"/>
        <w:tabs>
          <w:tab w:val="right" w:leader="dot" w:pos="9026"/>
        </w:tabs>
        <w:spacing w:line="480" w:lineRule="auto"/>
        <w:rPr>
          <w:b w:val="0"/>
          <w:bCs w:val="0"/>
          <w:sz w:val="28"/>
          <w:szCs w:val="28"/>
        </w:rPr>
      </w:pPr>
      <w:r>
        <w:fldChar w:fldCharType="begin"/>
      </w:r>
      <w:r>
        <w:instrText xml:space="preserve"> HYPERLINK \l "_Toc14762" </w:instrText>
      </w:r>
      <w:r>
        <w:fldChar w:fldCharType="separate"/>
      </w:r>
      <w:r>
        <w:rPr>
          <w:rFonts w:hint="eastAsia"/>
          <w:b w:val="0"/>
          <w:bCs w:val="0"/>
          <w:sz w:val="28"/>
          <w:szCs w:val="28"/>
        </w:rPr>
        <w:t>第六章 投标文件格式</w:t>
      </w:r>
      <w:r>
        <w:rPr>
          <w:b w:val="0"/>
          <w:bCs w:val="0"/>
          <w:sz w:val="28"/>
          <w:szCs w:val="28"/>
        </w:rPr>
        <w:tab/>
      </w:r>
      <w:r>
        <w:rPr>
          <w:b w:val="0"/>
          <w:bCs w:val="0"/>
          <w:sz w:val="28"/>
          <w:szCs w:val="28"/>
        </w:rPr>
        <w:fldChar w:fldCharType="begin"/>
      </w:r>
      <w:r>
        <w:rPr>
          <w:b w:val="0"/>
          <w:bCs w:val="0"/>
          <w:sz w:val="28"/>
          <w:szCs w:val="28"/>
        </w:rPr>
        <w:instrText xml:space="preserve"> PAGEREF _Toc14762 \h </w:instrText>
      </w:r>
      <w:r>
        <w:rPr>
          <w:b w:val="0"/>
          <w:bCs w:val="0"/>
          <w:sz w:val="28"/>
          <w:szCs w:val="28"/>
        </w:rPr>
        <w:fldChar w:fldCharType="separate"/>
      </w:r>
      <w:r>
        <w:rPr>
          <w:b w:val="0"/>
          <w:bCs w:val="0"/>
          <w:sz w:val="28"/>
          <w:szCs w:val="28"/>
        </w:rPr>
        <w:t>68</w:t>
      </w:r>
      <w:r>
        <w:rPr>
          <w:b w:val="0"/>
          <w:bCs w:val="0"/>
          <w:sz w:val="28"/>
          <w:szCs w:val="28"/>
        </w:rPr>
        <w:fldChar w:fldCharType="end"/>
      </w:r>
      <w:r>
        <w:rPr>
          <w:b w:val="0"/>
          <w:bCs w:val="0"/>
          <w:sz w:val="28"/>
          <w:szCs w:val="28"/>
        </w:rPr>
        <w:fldChar w:fldCharType="end"/>
      </w:r>
    </w:p>
    <w:p w14:paraId="48B4ED64">
      <w:pPr>
        <w:pStyle w:val="2"/>
        <w:spacing w:line="480" w:lineRule="auto"/>
        <w:jc w:val="center"/>
        <w:sectPr>
          <w:headerReference r:id="rId3" w:type="default"/>
          <w:footerReference r:id="rId4" w:type="default"/>
          <w:pgSz w:w="11906" w:h="16838"/>
          <w:pgMar w:top="1440" w:right="1440" w:bottom="1440" w:left="1440" w:header="851" w:footer="992" w:gutter="0"/>
          <w:pgNumType w:start="1"/>
          <w:cols w:space="0" w:num="1"/>
          <w:docGrid w:linePitch="312" w:charSpace="0"/>
        </w:sectPr>
      </w:pPr>
      <w:r>
        <w:rPr>
          <w:rFonts w:hint="eastAsia" w:ascii="仿宋" w:hAnsi="仿宋" w:eastAsia="仿宋" w:cs="仿宋"/>
          <w:b w:val="0"/>
          <w:bCs w:val="0"/>
          <w:sz w:val="28"/>
          <w:szCs w:val="28"/>
        </w:rPr>
        <w:fldChar w:fldCharType="end"/>
      </w:r>
      <w:bookmarkStart w:id="1" w:name="_Toc5022"/>
      <w:bookmarkStart w:id="2" w:name="_Toc82792177"/>
      <w:bookmarkStart w:id="3" w:name="_Toc374"/>
      <w:bookmarkStart w:id="4" w:name="_Toc257"/>
      <w:bookmarkStart w:id="5" w:name="_Toc10762"/>
      <w:bookmarkStart w:id="6" w:name="_Toc19738"/>
      <w:bookmarkStart w:id="7" w:name="_Toc22815"/>
    </w:p>
    <w:p w14:paraId="361B4032">
      <w:pPr>
        <w:pStyle w:val="2"/>
        <w:spacing w:line="240" w:lineRule="auto"/>
        <w:jc w:val="center"/>
        <w:rPr>
          <w:sz w:val="32"/>
          <w:szCs w:val="32"/>
        </w:rPr>
      </w:pPr>
      <w:bookmarkStart w:id="8" w:name="_Toc13736"/>
      <w:r>
        <w:rPr>
          <w:rFonts w:hint="eastAsia"/>
          <w:sz w:val="32"/>
          <w:szCs w:val="32"/>
        </w:rPr>
        <w:t>第一章  公开招标公告</w:t>
      </w:r>
      <w:bookmarkEnd w:id="1"/>
      <w:bookmarkEnd w:id="2"/>
      <w:bookmarkEnd w:id="3"/>
      <w:bookmarkEnd w:id="4"/>
      <w:bookmarkEnd w:id="5"/>
      <w:bookmarkEnd w:id="6"/>
      <w:bookmarkEnd w:id="7"/>
      <w:bookmarkEnd w:id="8"/>
    </w:p>
    <w:p w14:paraId="4E7A9AB3">
      <w:pPr>
        <w:pStyle w:val="7"/>
        <w:spacing w:before="75" w:beforeAutospacing="0" w:after="75" w:afterAutospacing="0"/>
        <w:jc w:val="center"/>
        <w:rPr>
          <w:rFonts w:cs="宋体"/>
          <w:b/>
          <w:sz w:val="28"/>
          <w:szCs w:val="28"/>
        </w:rPr>
      </w:pPr>
      <w:bookmarkStart w:id="9" w:name="_Toc35393790"/>
      <w:bookmarkStart w:id="10" w:name="_Toc35393621"/>
      <w:bookmarkStart w:id="11" w:name="_Toc28359079"/>
      <w:bookmarkStart w:id="12" w:name="_Hlk24379207"/>
      <w:bookmarkStart w:id="13" w:name="_Toc28359002"/>
      <w:bookmarkStart w:id="14" w:name="_Toc22936"/>
      <w:bookmarkStart w:id="15" w:name="_Toc2653"/>
      <w:bookmarkStart w:id="16" w:name="_Toc12532"/>
      <w:bookmarkStart w:id="17" w:name="_Toc14618"/>
      <w:r>
        <w:rPr>
          <w:rFonts w:cs="宋体"/>
          <w:b/>
          <w:sz w:val="28"/>
          <w:szCs w:val="28"/>
        </w:rPr>
        <w:t>广西同泽工程项目管理股份有限公司关于实训教学模型及互联互通虚拟教学一体化平台采购安装项目（</w:t>
      </w:r>
      <w:r>
        <w:rPr>
          <w:rFonts w:hint="eastAsia" w:cs="宋体"/>
          <w:b/>
          <w:sz w:val="28"/>
          <w:szCs w:val="28"/>
          <w:lang w:eastAsia="zh-CN"/>
        </w:rPr>
        <w:t>GXZC2024-G1-005820-GXTZ</w:t>
      </w:r>
      <w:r>
        <w:rPr>
          <w:rFonts w:cs="宋体"/>
          <w:b/>
          <w:sz w:val="28"/>
          <w:szCs w:val="28"/>
        </w:rPr>
        <w:t>）的公开招标公告</w:t>
      </w:r>
    </w:p>
    <w:p w14:paraId="508DAB61">
      <w:pPr>
        <w:pBdr>
          <w:top w:val="single" w:color="auto" w:sz="4" w:space="1"/>
          <w:left w:val="single" w:color="auto" w:sz="4" w:space="4"/>
          <w:bottom w:val="single" w:color="auto" w:sz="4" w:space="1"/>
          <w:right w:val="single" w:color="auto" w:sz="4" w:space="4"/>
        </w:pBdr>
        <w:spacing w:line="330" w:lineRule="exact"/>
        <w:ind w:firstLine="420" w:firstLineChars="200"/>
        <w:rPr>
          <w:rFonts w:hint="eastAsia" w:ascii="宋体" w:hAnsi="宋体" w:cs="宋体"/>
          <w:szCs w:val="21"/>
        </w:rPr>
      </w:pPr>
      <w:r>
        <w:rPr>
          <w:rFonts w:hint="eastAsia" w:ascii="宋体" w:hAnsi="宋体" w:cs="宋体"/>
          <w:szCs w:val="21"/>
        </w:rPr>
        <w:t>项目概况</w:t>
      </w:r>
    </w:p>
    <w:p w14:paraId="65F486B9">
      <w:pPr>
        <w:pBdr>
          <w:top w:val="single" w:color="auto" w:sz="4" w:space="1"/>
          <w:left w:val="single" w:color="auto" w:sz="4" w:space="4"/>
          <w:bottom w:val="single" w:color="auto" w:sz="4" w:space="1"/>
          <w:right w:val="single" w:color="auto" w:sz="4" w:space="4"/>
        </w:pBdr>
        <w:spacing w:line="330" w:lineRule="exact"/>
        <w:ind w:firstLine="420" w:firstLineChars="200"/>
        <w:rPr>
          <w:rFonts w:hint="eastAsia" w:ascii="仿宋_GB2312" w:hAnsi="仿宋_GB2312" w:eastAsia="仿宋_GB2312" w:cs="仿宋_GB2312"/>
          <w:b/>
          <w:bCs/>
          <w:sz w:val="28"/>
          <w:szCs w:val="28"/>
        </w:rPr>
      </w:pPr>
      <w:r>
        <w:rPr>
          <w:rFonts w:hint="eastAsia" w:ascii="宋体" w:hAnsi="宋体" w:cs="宋体"/>
          <w:szCs w:val="21"/>
        </w:rPr>
        <w:t>实训教学模型及互联互通虚拟教学一体化平台采购安装项目招标项目的潜在投标人应在广西政府采购云平台（https：//www.gcy.zfcg.gxzf.gov.cn/）获取招标文件，并于</w:t>
      </w:r>
      <w:r>
        <w:rPr>
          <w:rFonts w:ascii="Arial" w:hAnsi="Arial" w:cs="Arial"/>
          <w:szCs w:val="21"/>
          <w:shd w:val="clear" w:color="auto" w:fill="FFFFFF"/>
        </w:rPr>
        <w:t>2024年</w:t>
      </w:r>
      <w:r>
        <w:rPr>
          <w:rFonts w:hint="eastAsia" w:ascii="Arial" w:hAnsi="Arial" w:cs="Arial"/>
          <w:szCs w:val="21"/>
          <w:shd w:val="clear" w:color="auto" w:fill="FFFFFF"/>
        </w:rPr>
        <w:t xml:space="preserve">  </w:t>
      </w:r>
      <w:r>
        <w:rPr>
          <w:rFonts w:ascii="Arial" w:hAnsi="Arial" w:cs="Arial"/>
          <w:szCs w:val="21"/>
          <w:shd w:val="clear" w:color="auto" w:fill="FFFFFF"/>
        </w:rPr>
        <w:t>月</w:t>
      </w:r>
      <w:r>
        <w:rPr>
          <w:rFonts w:hint="eastAsia" w:ascii="Arial" w:hAnsi="Arial" w:cs="Arial"/>
          <w:szCs w:val="21"/>
          <w:shd w:val="clear" w:color="auto" w:fill="FFFFFF"/>
        </w:rPr>
        <w:t xml:space="preserve">  </w:t>
      </w:r>
      <w:r>
        <w:rPr>
          <w:rFonts w:ascii="Arial" w:hAnsi="Arial" w:cs="Arial"/>
          <w:szCs w:val="21"/>
          <w:shd w:val="clear" w:color="auto" w:fill="FFFFFF"/>
        </w:rPr>
        <w:t>日</w:t>
      </w:r>
      <w:r>
        <w:rPr>
          <w:rFonts w:hint="eastAsia" w:ascii="宋体" w:hAnsi="宋体" w:cs="宋体"/>
          <w:szCs w:val="21"/>
        </w:rPr>
        <w:t>09:20（北京时间）前递交投标文件。</w:t>
      </w:r>
    </w:p>
    <w:bookmarkEnd w:id="9"/>
    <w:bookmarkEnd w:id="10"/>
    <w:bookmarkEnd w:id="11"/>
    <w:bookmarkEnd w:id="12"/>
    <w:bookmarkEnd w:id="13"/>
    <w:p w14:paraId="70E142EB">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一、项目基本情况</w:t>
      </w:r>
      <w:r>
        <w:rPr>
          <w:rFonts w:asciiTheme="minorEastAsia" w:hAnsiTheme="minorEastAsia" w:eastAsiaTheme="minorEastAsia" w:cstheme="minorEastAsia"/>
          <w:sz w:val="21"/>
          <w:szCs w:val="21"/>
        </w:rPr>
        <w:t>                                            </w:t>
      </w:r>
    </w:p>
    <w:p w14:paraId="0CD117CD">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项目编号：</w:t>
      </w:r>
      <w:r>
        <w:rPr>
          <w:rFonts w:hint="eastAsia" w:asciiTheme="minorEastAsia" w:hAnsiTheme="minorEastAsia" w:eastAsiaTheme="minorEastAsia" w:cstheme="minorEastAsia"/>
          <w:sz w:val="21"/>
          <w:szCs w:val="21"/>
          <w:lang w:eastAsia="zh-CN"/>
        </w:rPr>
        <w:t>GXZC2024-G1-005820-GXTZ</w:t>
      </w:r>
      <w:r>
        <w:rPr>
          <w:rFonts w:asciiTheme="minorEastAsia" w:hAnsiTheme="minorEastAsia" w:eastAsiaTheme="minorEastAsia" w:cstheme="minorEastAsia"/>
          <w:sz w:val="21"/>
          <w:szCs w:val="21"/>
        </w:rPr>
        <w:t> </w:t>
      </w:r>
    </w:p>
    <w:p w14:paraId="4C8AD2A3">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项目名称：实训教学模型及互联互通虚拟教学一体化平台采购安装项目</w:t>
      </w:r>
    </w:p>
    <w:p w14:paraId="04BF95C7">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预算总金额（元）：3165288.85 </w:t>
      </w:r>
    </w:p>
    <w:p w14:paraId="44E1AF9C">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采购需求：</w:t>
      </w:r>
    </w:p>
    <w:p w14:paraId="211AD5FB">
      <w:pPr>
        <w:pStyle w:val="7"/>
        <w:spacing w:before="75" w:beforeAutospacing="0" w:after="75" w:afterAutospacing="0" w:line="330" w:lineRule="exact"/>
        <w:rPr>
          <w:rFonts w:asciiTheme="minorEastAsia" w:hAnsiTheme="minorEastAsia" w:eastAsiaTheme="minorEastAsia" w:cstheme="minorEastAsia"/>
          <w:sz w:val="21"/>
          <w:szCs w:val="21"/>
        </w:rPr>
      </w:pPr>
    </w:p>
    <w:p w14:paraId="1D8FBDA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标项一</w:t>
      </w:r>
    </w:p>
    <w:p w14:paraId="2E6B5D6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标项名称:1分标：生理驱动模拟人等高端教学模型采购安装项目</w:t>
      </w:r>
    </w:p>
    <w:p w14:paraId="67E9FE1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数量:1</w:t>
      </w:r>
    </w:p>
    <w:p w14:paraId="16C4DC59">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预算金额（元）:1423553.15</w:t>
      </w:r>
    </w:p>
    <w:p w14:paraId="1945F3B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简要规格描述或项目基本概况介绍、用途：</w:t>
      </w:r>
      <w:r>
        <w:rPr>
          <w:rFonts w:hint="eastAsia" w:asciiTheme="minorEastAsia" w:hAnsiTheme="minorEastAsia" w:eastAsiaTheme="minorEastAsia" w:cstheme="minorEastAsia"/>
          <w:sz w:val="21"/>
          <w:szCs w:val="21"/>
        </w:rPr>
        <w:t>生理驱动模拟人等高端教学模型采购安装项目</w:t>
      </w:r>
      <w:r>
        <w:rPr>
          <w:rFonts w:asciiTheme="minorEastAsia" w:hAnsiTheme="minorEastAsia" w:eastAsiaTheme="minorEastAsia" w:cstheme="minorEastAsia"/>
          <w:sz w:val="21"/>
          <w:szCs w:val="21"/>
        </w:rPr>
        <w:t>一项（具体内容详见招标文件第二章《采购需求》）</w:t>
      </w:r>
    </w:p>
    <w:p w14:paraId="2BA35B7E">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最高限价（如有）：1</w:t>
      </w:r>
      <w:r>
        <w:rPr>
          <w:rStyle w:val="21"/>
          <w:rFonts w:asciiTheme="minorEastAsia" w:hAnsiTheme="minorEastAsia" w:eastAsiaTheme="minorEastAsia" w:cstheme="minorEastAsia"/>
          <w:sz w:val="21"/>
          <w:szCs w:val="21"/>
        </w:rPr>
        <w:t>423553.15</w:t>
      </w:r>
    </w:p>
    <w:p w14:paraId="34F9CA77">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合同履约期限：</w:t>
      </w:r>
      <w:r>
        <w:rPr>
          <w:rStyle w:val="21"/>
          <w:rFonts w:asciiTheme="minorEastAsia" w:hAnsiTheme="minorEastAsia" w:eastAsiaTheme="minorEastAsia" w:cstheme="minorEastAsia"/>
          <w:sz w:val="21"/>
          <w:szCs w:val="21"/>
        </w:rPr>
        <w:t>合同签订之日起30日历天内安装调试完毕，验收合格并交付使用。</w:t>
      </w:r>
    </w:p>
    <w:p w14:paraId="6DD8FAF7">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本标项（</w:t>
      </w:r>
      <w:r>
        <w:rPr>
          <w:rStyle w:val="21"/>
          <w:rFonts w:asciiTheme="minorEastAsia" w:hAnsiTheme="minorEastAsia" w:eastAsiaTheme="minorEastAsia" w:cstheme="minorEastAsia"/>
          <w:sz w:val="21"/>
          <w:szCs w:val="21"/>
        </w:rPr>
        <w:t>否</w:t>
      </w:r>
      <w:r>
        <w:rPr>
          <w:rFonts w:asciiTheme="minorEastAsia" w:hAnsiTheme="minorEastAsia" w:eastAsiaTheme="minorEastAsia" w:cstheme="minorEastAsia"/>
          <w:sz w:val="21"/>
          <w:szCs w:val="21"/>
        </w:rPr>
        <w:t>）接受联合体投标</w:t>
      </w:r>
    </w:p>
    <w:p w14:paraId="3820B75D">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备注：</w:t>
      </w:r>
    </w:p>
    <w:p w14:paraId="5A273856">
      <w:pPr>
        <w:rPr>
          <w:rFonts w:hint="eastAsia" w:asciiTheme="minorEastAsia" w:hAnsiTheme="minorEastAsia" w:eastAsiaTheme="minorEastAsia" w:cstheme="minorEastAsia"/>
          <w:szCs w:val="21"/>
        </w:rPr>
      </w:pPr>
    </w:p>
    <w:p w14:paraId="2DA9150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标项二</w:t>
      </w:r>
    </w:p>
    <w:p w14:paraId="4A97B86E">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标项名称:2分标：外科手术技能训练标准化病人等普通教学模型采购安装项目</w:t>
      </w:r>
    </w:p>
    <w:p w14:paraId="398B3179">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数量:1</w:t>
      </w:r>
    </w:p>
    <w:p w14:paraId="2BF5BCCF">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预算金额（元）:348798.20</w:t>
      </w:r>
    </w:p>
    <w:p w14:paraId="0D59207A">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简要规格描述或项目基本概况介绍、用途：</w:t>
      </w:r>
      <w:r>
        <w:rPr>
          <w:rFonts w:hint="eastAsia" w:asciiTheme="minorEastAsia" w:hAnsiTheme="minorEastAsia" w:eastAsiaTheme="minorEastAsia" w:cstheme="minorEastAsia"/>
          <w:sz w:val="21"/>
          <w:szCs w:val="21"/>
        </w:rPr>
        <w:t>外科手术技能训练标准化病人等普通教学模型采购安装项目</w:t>
      </w:r>
      <w:r>
        <w:rPr>
          <w:rFonts w:asciiTheme="minorEastAsia" w:hAnsiTheme="minorEastAsia" w:eastAsiaTheme="minorEastAsia" w:cstheme="minorEastAsia"/>
          <w:sz w:val="21"/>
          <w:szCs w:val="21"/>
        </w:rPr>
        <w:t>一项（具体内容详见招标文件第二章《采购需求》）</w:t>
      </w:r>
    </w:p>
    <w:p w14:paraId="2F3FA28A">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最高限价（如有）：348798.20</w:t>
      </w:r>
    </w:p>
    <w:p w14:paraId="374B6725">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合同履约期限：</w:t>
      </w:r>
      <w:r>
        <w:rPr>
          <w:rStyle w:val="21"/>
          <w:rFonts w:asciiTheme="minorEastAsia" w:hAnsiTheme="minorEastAsia" w:eastAsiaTheme="minorEastAsia" w:cstheme="minorEastAsia"/>
          <w:sz w:val="21"/>
          <w:szCs w:val="21"/>
        </w:rPr>
        <w:t>合同签订之日起30日历天内安装调试完毕，验收合格并交付使用。</w:t>
      </w:r>
    </w:p>
    <w:p w14:paraId="62C0B634">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本标项（</w:t>
      </w:r>
      <w:r>
        <w:rPr>
          <w:rStyle w:val="21"/>
          <w:rFonts w:asciiTheme="minorEastAsia" w:hAnsiTheme="minorEastAsia" w:eastAsiaTheme="minorEastAsia" w:cstheme="minorEastAsia"/>
          <w:sz w:val="21"/>
          <w:szCs w:val="21"/>
        </w:rPr>
        <w:t>否</w:t>
      </w:r>
      <w:r>
        <w:rPr>
          <w:rFonts w:asciiTheme="minorEastAsia" w:hAnsiTheme="minorEastAsia" w:eastAsiaTheme="minorEastAsia" w:cstheme="minorEastAsia"/>
          <w:sz w:val="21"/>
          <w:szCs w:val="21"/>
        </w:rPr>
        <w:t>）接受联合体投标</w:t>
      </w:r>
    </w:p>
    <w:p w14:paraId="161AD8D6">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14:paraId="1EFD4B75">
      <w:pPr>
        <w:pStyle w:val="7"/>
        <w:spacing w:before="75" w:beforeAutospacing="0" w:after="75" w:afterAutospacing="0" w:line="330" w:lineRule="exact"/>
        <w:rPr>
          <w:rStyle w:val="20"/>
          <w:rFonts w:asciiTheme="minorEastAsia" w:hAnsiTheme="minorEastAsia" w:eastAsiaTheme="minorEastAsia" w:cstheme="minorEastAsia"/>
          <w:sz w:val="21"/>
          <w:szCs w:val="21"/>
        </w:rPr>
      </w:pPr>
    </w:p>
    <w:p w14:paraId="76448671">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标项三</w:t>
      </w:r>
    </w:p>
    <w:p w14:paraId="3DE68D1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标项名称:3分标：支气管镜仿真培训等虚拟腔镜教学模拟器采购安装项目</w:t>
      </w:r>
    </w:p>
    <w:p w14:paraId="50BEB44B">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数量:1</w:t>
      </w:r>
    </w:p>
    <w:p w14:paraId="3F17896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预算金额（元）:993700.00</w:t>
      </w:r>
    </w:p>
    <w:p w14:paraId="04FED3F7">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简要规格描述或项目基本概况介绍、用途：支气管镜仿真培训等虚拟腔镜教学模拟器采购安装项目一项（具体内容详见招标文件第二章《采购需求》）</w:t>
      </w:r>
    </w:p>
    <w:p w14:paraId="3F167044">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最高限价（如有）：993700.00</w:t>
      </w:r>
    </w:p>
    <w:p w14:paraId="5ADDA9C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合同履约期限：</w:t>
      </w:r>
      <w:r>
        <w:rPr>
          <w:rStyle w:val="21"/>
          <w:rFonts w:asciiTheme="minorEastAsia" w:hAnsiTheme="minorEastAsia" w:eastAsiaTheme="minorEastAsia" w:cstheme="minorEastAsia"/>
          <w:sz w:val="21"/>
          <w:szCs w:val="21"/>
        </w:rPr>
        <w:t>合同签订之日起30日历天内安装调试完毕，验收合格并交付使用。</w:t>
      </w:r>
    </w:p>
    <w:p w14:paraId="04C65524">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本标项（</w:t>
      </w:r>
      <w:r>
        <w:rPr>
          <w:rStyle w:val="21"/>
          <w:rFonts w:asciiTheme="minorEastAsia" w:hAnsiTheme="minorEastAsia" w:eastAsiaTheme="minorEastAsia" w:cstheme="minorEastAsia"/>
          <w:sz w:val="21"/>
          <w:szCs w:val="21"/>
        </w:rPr>
        <w:t>否</w:t>
      </w:r>
      <w:r>
        <w:rPr>
          <w:rFonts w:asciiTheme="minorEastAsia" w:hAnsiTheme="minorEastAsia" w:eastAsiaTheme="minorEastAsia" w:cstheme="minorEastAsia"/>
          <w:sz w:val="21"/>
          <w:szCs w:val="21"/>
        </w:rPr>
        <w:t>）接受联合体投标</w:t>
      </w:r>
    </w:p>
    <w:p w14:paraId="47BCFB80">
      <w:pP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p w14:paraId="38094AE5">
      <w:pPr>
        <w:pStyle w:val="7"/>
        <w:spacing w:before="75" w:beforeAutospacing="0" w:after="75" w:afterAutospacing="0" w:line="330" w:lineRule="exact"/>
        <w:rPr>
          <w:rStyle w:val="20"/>
          <w:rFonts w:asciiTheme="minorEastAsia" w:hAnsiTheme="minorEastAsia" w:eastAsiaTheme="minorEastAsia" w:cstheme="minorEastAsia"/>
          <w:sz w:val="21"/>
          <w:szCs w:val="21"/>
        </w:rPr>
      </w:pPr>
    </w:p>
    <w:p w14:paraId="578B148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标项四</w:t>
      </w:r>
    </w:p>
    <w:p w14:paraId="0D9F30A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标项名称:4分标：公共卫生与应急虚拟仿真实验教学系统采购安装项目</w:t>
      </w:r>
    </w:p>
    <w:p w14:paraId="2F1A0D39">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数量:1</w:t>
      </w:r>
    </w:p>
    <w:p w14:paraId="157A1109">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预算金额（元）:399237.50</w:t>
      </w:r>
    </w:p>
    <w:p w14:paraId="06EC4B2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简要规格描述或项目基本概况介绍、用途：</w:t>
      </w:r>
      <w:r>
        <w:rPr>
          <w:rFonts w:hint="eastAsia" w:asciiTheme="minorEastAsia" w:hAnsiTheme="minorEastAsia" w:eastAsiaTheme="minorEastAsia" w:cstheme="minorEastAsia"/>
          <w:sz w:val="21"/>
          <w:szCs w:val="21"/>
        </w:rPr>
        <w:t>公共卫生与应急虚拟仿真实验教学系统采购安装项目</w:t>
      </w:r>
      <w:r>
        <w:rPr>
          <w:rFonts w:asciiTheme="minorEastAsia" w:hAnsiTheme="minorEastAsia" w:eastAsiaTheme="minorEastAsia" w:cstheme="minorEastAsia"/>
          <w:sz w:val="21"/>
          <w:szCs w:val="21"/>
        </w:rPr>
        <w:t>一项（具体内容详见招标文件第二章《采购需求》）</w:t>
      </w:r>
    </w:p>
    <w:p w14:paraId="320B080E">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最高限价（如有）：399237.50</w:t>
      </w:r>
    </w:p>
    <w:p w14:paraId="6C40DD78">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合同履约期限：</w:t>
      </w:r>
      <w:r>
        <w:rPr>
          <w:rStyle w:val="21"/>
          <w:rFonts w:asciiTheme="minorEastAsia" w:hAnsiTheme="minorEastAsia" w:eastAsiaTheme="minorEastAsia" w:cstheme="minorEastAsia"/>
          <w:sz w:val="21"/>
          <w:szCs w:val="21"/>
        </w:rPr>
        <w:t>合同签订之日起90日历天内安装调试完毕，验收合格并交付使用。</w:t>
      </w:r>
    </w:p>
    <w:p w14:paraId="0F7D436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本标项（</w:t>
      </w:r>
      <w:r>
        <w:rPr>
          <w:rStyle w:val="21"/>
          <w:rFonts w:asciiTheme="minorEastAsia" w:hAnsiTheme="minorEastAsia" w:eastAsiaTheme="minorEastAsia" w:cstheme="minorEastAsia"/>
          <w:sz w:val="21"/>
          <w:szCs w:val="21"/>
        </w:rPr>
        <w:t>否</w:t>
      </w:r>
      <w:r>
        <w:rPr>
          <w:rFonts w:asciiTheme="minorEastAsia" w:hAnsiTheme="minorEastAsia" w:eastAsiaTheme="minorEastAsia" w:cstheme="minorEastAsia"/>
          <w:sz w:val="21"/>
          <w:szCs w:val="21"/>
        </w:rPr>
        <w:t>）接受联合体投标</w:t>
      </w:r>
    </w:p>
    <w:p w14:paraId="538E7A3D">
      <w:r>
        <w:rPr>
          <w:rFonts w:hint="eastAsia" w:asciiTheme="minorEastAsia" w:hAnsiTheme="minorEastAsia" w:eastAsiaTheme="minorEastAsia" w:cstheme="minorEastAsia"/>
          <w:szCs w:val="21"/>
        </w:rPr>
        <w:t>备注：</w:t>
      </w:r>
    </w:p>
    <w:p w14:paraId="1BF45120">
      <w:pPr>
        <w:pStyle w:val="7"/>
        <w:spacing w:before="75" w:beforeAutospacing="0" w:after="75" w:afterAutospacing="0" w:line="330" w:lineRule="exact"/>
        <w:rPr>
          <w:rStyle w:val="20"/>
          <w:rFonts w:asciiTheme="minorEastAsia" w:hAnsiTheme="minorEastAsia" w:eastAsiaTheme="minorEastAsia" w:cstheme="minorEastAsia"/>
          <w:sz w:val="21"/>
          <w:szCs w:val="21"/>
        </w:rPr>
      </w:pPr>
    </w:p>
    <w:p w14:paraId="06D8FFBC">
      <w:pPr>
        <w:pStyle w:val="7"/>
        <w:spacing w:before="75" w:beforeAutospacing="0" w:after="75" w:afterAutospacing="0" w:line="330" w:lineRule="exact"/>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二、申请人的资格要求：</w:t>
      </w:r>
    </w:p>
    <w:p w14:paraId="4DD7913C">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1.满足《中华人民共和国政府采购法》第二十二条规定；</w:t>
      </w:r>
    </w:p>
    <w:p w14:paraId="61EB7EA4">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2.落实政府采购政策需满足的资格要求：分标1、2、3、4：本项目为专门面向小微企业项目</w:t>
      </w:r>
    </w:p>
    <w:p w14:paraId="22663D3C">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3.本项目的特定资格要求：【分标1、2、3、4】：无。</w:t>
      </w:r>
    </w:p>
    <w:p w14:paraId="4747F09A">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三、获取招标文件</w:t>
      </w:r>
      <w:r>
        <w:rPr>
          <w:rFonts w:asciiTheme="minorEastAsia" w:hAnsiTheme="minorEastAsia" w:eastAsiaTheme="minorEastAsia" w:cstheme="minorEastAsia"/>
          <w:sz w:val="21"/>
          <w:szCs w:val="21"/>
        </w:rPr>
        <w:t> </w:t>
      </w:r>
    </w:p>
    <w:p w14:paraId="2DE61A9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时间：</w:t>
      </w:r>
      <w:r>
        <w:rPr>
          <w:rFonts w:hint="default" w:ascii="Arial" w:hAnsi="Arial" w:cs="Arial"/>
          <w:sz w:val="21"/>
          <w:szCs w:val="21"/>
          <w:shd w:val="clear" w:color="auto" w:fill="FFFFFF"/>
        </w:rPr>
        <w:t>2024年</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月</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日</w:t>
      </w:r>
      <w:r>
        <w:rPr>
          <w:rFonts w:asciiTheme="minorEastAsia" w:hAnsiTheme="minorEastAsia" w:eastAsiaTheme="minorEastAsia" w:cstheme="minorEastAsia"/>
          <w:sz w:val="21"/>
          <w:szCs w:val="21"/>
        </w:rPr>
        <w:t>至</w:t>
      </w:r>
      <w:r>
        <w:rPr>
          <w:rFonts w:hint="default" w:ascii="Arial" w:hAnsi="Arial" w:cs="Arial"/>
          <w:sz w:val="21"/>
          <w:szCs w:val="21"/>
          <w:shd w:val="clear" w:color="auto" w:fill="FFFFFF"/>
        </w:rPr>
        <w:t>2024年</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月</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日</w:t>
      </w:r>
      <w:r>
        <w:rPr>
          <w:rFonts w:asciiTheme="minorEastAsia" w:hAnsiTheme="minorEastAsia" w:eastAsiaTheme="minorEastAsia" w:cstheme="minorEastAsia"/>
          <w:sz w:val="21"/>
          <w:szCs w:val="21"/>
        </w:rPr>
        <w:t> ，每天上午00:00至12:00 ，下午12:00至23:59（北京时间，法定节假日除外）</w:t>
      </w:r>
    </w:p>
    <w:p w14:paraId="6F95DF40">
      <w:pPr>
        <w:pStyle w:val="7"/>
        <w:spacing w:before="75" w:beforeAutospacing="0" w:after="75" w:afterAutospacing="0" w:line="330" w:lineRule="exact"/>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xml:space="preserve">地点（网址）：广西政府采购云平台（https：//www.gcy.zfcg.gxzf.gov.cn/） </w:t>
      </w:r>
    </w:p>
    <w:p w14:paraId="63A28B64">
      <w:pPr>
        <w:pStyle w:val="7"/>
        <w:spacing w:before="75" w:beforeAutospacing="0" w:after="75" w:afterAutospacing="0" w:line="330" w:lineRule="exact"/>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xml:space="preserve">方式：供应商登录广西政府采购云平台https://www.gcy.zfcg.gxzf.gov.cn/在线申请获取采购文件（进入“项目采购”应用，在获取采购文件菜单中选择项目，申请获取采购文件）   </w:t>
      </w:r>
    </w:p>
    <w:p w14:paraId="6DCA5FF4">
      <w:pPr>
        <w:pStyle w:val="7"/>
        <w:spacing w:before="75" w:beforeAutospacing="0" w:after="75" w:afterAutospacing="0" w:line="330" w:lineRule="exact"/>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售价（元）：0 </w:t>
      </w:r>
    </w:p>
    <w:p w14:paraId="07D011AC">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四、提交投标文件截止时间、开标时间和地点</w:t>
      </w:r>
    </w:p>
    <w:p w14:paraId="5442BB0A">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提交投标文件截止时间：</w:t>
      </w:r>
      <w:r>
        <w:rPr>
          <w:rFonts w:hint="default" w:ascii="Arial" w:hAnsi="Arial" w:cs="Arial"/>
          <w:sz w:val="21"/>
          <w:szCs w:val="21"/>
          <w:shd w:val="clear" w:color="auto" w:fill="FFFFFF"/>
        </w:rPr>
        <w:t>2024年</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月</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日</w:t>
      </w:r>
      <w:r>
        <w:rPr>
          <w:rFonts w:asciiTheme="minorEastAsia" w:hAnsiTheme="minorEastAsia" w:eastAsiaTheme="minorEastAsia" w:cstheme="minorEastAsia"/>
          <w:sz w:val="21"/>
          <w:szCs w:val="21"/>
        </w:rPr>
        <w:t>09:20（北京时间）</w:t>
      </w:r>
    </w:p>
    <w:p w14:paraId="1F0E5A6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投标地点（网址）：广西政府采购云平台（https：//www.gcy.zfcg.gxzf.gov.cn/）</w:t>
      </w:r>
    </w:p>
    <w:p w14:paraId="04AE1CB9">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开标时间：</w:t>
      </w:r>
      <w:r>
        <w:rPr>
          <w:rFonts w:hint="default" w:ascii="Arial" w:hAnsi="Arial" w:cs="Arial"/>
          <w:sz w:val="21"/>
          <w:szCs w:val="21"/>
          <w:shd w:val="clear" w:color="auto" w:fill="FFFFFF"/>
        </w:rPr>
        <w:t>2024年</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月</w:t>
      </w:r>
      <w:r>
        <w:rPr>
          <w:rFonts w:ascii="Arial" w:hAnsi="Arial" w:cs="Arial"/>
          <w:sz w:val="21"/>
          <w:szCs w:val="21"/>
          <w:shd w:val="clear" w:color="auto" w:fill="FFFFFF"/>
        </w:rPr>
        <w:t xml:space="preserve">  </w:t>
      </w:r>
      <w:r>
        <w:rPr>
          <w:rFonts w:hint="default" w:ascii="Arial" w:hAnsi="Arial" w:cs="Arial"/>
          <w:sz w:val="21"/>
          <w:szCs w:val="21"/>
          <w:shd w:val="clear" w:color="auto" w:fill="FFFFFF"/>
        </w:rPr>
        <w:t>日</w:t>
      </w:r>
      <w:r>
        <w:rPr>
          <w:rFonts w:asciiTheme="minorEastAsia" w:hAnsiTheme="minorEastAsia" w:eastAsiaTheme="minorEastAsia" w:cstheme="minorEastAsia"/>
          <w:sz w:val="21"/>
          <w:szCs w:val="21"/>
        </w:rPr>
        <w:t>09:20 </w:t>
      </w:r>
    </w:p>
    <w:p w14:paraId="2690A4C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开标地点：广西政府采购云平台（https：//www.gcy.zfcg.gxzf.gov.cn/） </w:t>
      </w:r>
    </w:p>
    <w:p w14:paraId="160D0E6D">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五、公告期限</w:t>
      </w:r>
      <w:r>
        <w:rPr>
          <w:rFonts w:asciiTheme="minorEastAsia" w:hAnsiTheme="minorEastAsia" w:eastAsiaTheme="minorEastAsia" w:cstheme="minorEastAsia"/>
          <w:sz w:val="21"/>
          <w:szCs w:val="21"/>
        </w:rPr>
        <w:t> </w:t>
      </w:r>
    </w:p>
    <w:p w14:paraId="0DEF39AD">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自本公告发布之日起5个工作日。</w:t>
      </w:r>
    </w:p>
    <w:p w14:paraId="2D845FAA">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六、其他补充事宜</w:t>
      </w:r>
    </w:p>
    <w:p w14:paraId="4A56D0FA">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1.网上查询地址</w:t>
      </w:r>
      <w:r>
        <w:rPr>
          <w:rFonts w:ascii="Arial" w:hAnsi="Arial" w:cs="Arial"/>
          <w:sz w:val="21"/>
          <w:szCs w:val="21"/>
          <w:shd w:val="clear" w:color="auto" w:fill="FFFFFF"/>
        </w:rPr>
        <w:t>：中国政府采购网、广西壮族自治区政府采购网</w:t>
      </w:r>
    </w:p>
    <w:p w14:paraId="7F9BE6F3">
      <w:pPr>
        <w:snapToGrid w:val="0"/>
        <w:spacing w:line="400" w:lineRule="exact"/>
        <w:ind w:firstLine="420" w:firstLineChars="200"/>
        <w:rPr>
          <w:rFonts w:ascii="Arial" w:hAnsi="Arial" w:cs="Arial"/>
          <w:szCs w:val="21"/>
        </w:rPr>
      </w:pPr>
      <w:r>
        <w:rPr>
          <w:rFonts w:ascii="Arial" w:hAnsi="Arial" w:cs="Arial"/>
          <w:szCs w:val="21"/>
          <w:shd w:val="clear" w:color="auto" w:fill="FFFFFF"/>
        </w:rPr>
        <w:t>2.</w:t>
      </w:r>
      <w:r>
        <w:rPr>
          <w:rFonts w:ascii="Arial" w:hAnsi="Arial" w:cs="Arial"/>
          <w:szCs w:val="21"/>
        </w:rPr>
        <w:t>投标保证金（人民币）：1分标保证金：1</w:t>
      </w:r>
      <w:r>
        <w:rPr>
          <w:rFonts w:hint="eastAsia" w:ascii="Arial" w:hAnsi="Arial" w:cs="Arial"/>
          <w:szCs w:val="21"/>
        </w:rPr>
        <w:t>0000.00</w:t>
      </w:r>
      <w:r>
        <w:rPr>
          <w:rFonts w:ascii="Arial" w:hAnsi="Arial" w:cs="Arial"/>
          <w:szCs w:val="21"/>
        </w:rPr>
        <w:t>元；2分标保证金：3000</w:t>
      </w:r>
      <w:r>
        <w:rPr>
          <w:rFonts w:hint="eastAsia" w:ascii="Arial" w:hAnsi="Arial" w:cs="Arial"/>
          <w:szCs w:val="21"/>
        </w:rPr>
        <w:t>.00</w:t>
      </w:r>
      <w:r>
        <w:rPr>
          <w:rFonts w:ascii="Arial" w:hAnsi="Arial" w:cs="Arial"/>
          <w:szCs w:val="21"/>
        </w:rPr>
        <w:t>元；3分标保证金：9000</w:t>
      </w:r>
      <w:r>
        <w:rPr>
          <w:rFonts w:hint="eastAsia" w:ascii="Arial" w:hAnsi="Arial" w:cs="Arial"/>
          <w:szCs w:val="21"/>
        </w:rPr>
        <w:t>.00</w:t>
      </w:r>
      <w:r>
        <w:rPr>
          <w:rFonts w:ascii="Arial" w:hAnsi="Arial" w:cs="Arial"/>
          <w:szCs w:val="21"/>
        </w:rPr>
        <w:t>元；4分标保证金：3500</w:t>
      </w:r>
      <w:r>
        <w:rPr>
          <w:rFonts w:hint="eastAsia" w:ascii="Arial" w:hAnsi="Arial" w:cs="Arial"/>
          <w:szCs w:val="21"/>
        </w:rPr>
        <w:t>.00</w:t>
      </w:r>
      <w:r>
        <w:rPr>
          <w:rFonts w:ascii="Arial" w:hAnsi="Arial" w:cs="Arial"/>
          <w:szCs w:val="21"/>
        </w:rPr>
        <w:t>元。</w:t>
      </w:r>
    </w:p>
    <w:p w14:paraId="1AF7FA35">
      <w:pPr>
        <w:snapToGrid w:val="0"/>
        <w:spacing w:line="400" w:lineRule="exact"/>
        <w:ind w:firstLine="420" w:firstLineChars="200"/>
        <w:rPr>
          <w:rFonts w:ascii="Arial" w:hAnsi="Arial" w:cs="Arial"/>
          <w:szCs w:val="21"/>
        </w:rPr>
      </w:pPr>
      <w:r>
        <w:rPr>
          <w:rFonts w:ascii="Arial" w:hAnsi="Arial" w:cs="Arial"/>
          <w:szCs w:val="21"/>
        </w:rPr>
        <w:t>投标人应于投标截止时间前将投标保证金以</w:t>
      </w:r>
      <w:r>
        <w:rPr>
          <w:rFonts w:ascii="Arial" w:hAnsi="Arial" w:cs="Arial"/>
          <w:bCs/>
          <w:szCs w:val="21"/>
          <w:u w:val="single"/>
        </w:rPr>
        <w:t>电汇、转帐、网上银行支付等非现金形式</w:t>
      </w:r>
      <w:r>
        <w:rPr>
          <w:rFonts w:ascii="Arial" w:hAnsi="Arial" w:cs="Arial"/>
          <w:szCs w:val="21"/>
        </w:rPr>
        <w:t>交至保证金专户（必须在指定时间前到达专户）：</w:t>
      </w:r>
    </w:p>
    <w:p w14:paraId="36467588">
      <w:pPr>
        <w:spacing w:line="400" w:lineRule="exact"/>
        <w:rPr>
          <w:rFonts w:ascii="Arial" w:hAnsi="Arial" w:cs="Arial"/>
          <w:szCs w:val="21"/>
        </w:rPr>
      </w:pPr>
      <w:r>
        <w:rPr>
          <w:rFonts w:ascii="Arial" w:hAnsi="Arial" w:cs="Arial"/>
          <w:szCs w:val="21"/>
        </w:rPr>
        <w:t xml:space="preserve">    开户名称：</w:t>
      </w:r>
      <w:r>
        <w:rPr>
          <w:rFonts w:ascii="Arial" w:hAnsi="Arial" w:cs="Arial"/>
          <w:szCs w:val="21"/>
          <w:u w:val="single"/>
        </w:rPr>
        <w:t>广西同泽工程项目管理股份有限公司柳州分公司</w:t>
      </w:r>
    </w:p>
    <w:p w14:paraId="4817B7AD">
      <w:pPr>
        <w:spacing w:line="400" w:lineRule="exact"/>
        <w:rPr>
          <w:rFonts w:ascii="Arial" w:hAnsi="Arial" w:cs="Arial"/>
          <w:szCs w:val="21"/>
        </w:rPr>
      </w:pPr>
      <w:r>
        <w:rPr>
          <w:rFonts w:ascii="Arial" w:hAnsi="Arial" w:cs="Arial"/>
          <w:szCs w:val="21"/>
        </w:rPr>
        <w:t xml:space="preserve">    开户银行：</w:t>
      </w:r>
      <w:r>
        <w:rPr>
          <w:rFonts w:ascii="Arial" w:hAnsi="Arial" w:cs="Arial"/>
          <w:szCs w:val="21"/>
          <w:u w:val="single"/>
        </w:rPr>
        <w:t>柳州市区农村信用合作联社窑埠分社</w:t>
      </w:r>
    </w:p>
    <w:p w14:paraId="50EE3672">
      <w:pPr>
        <w:spacing w:line="400" w:lineRule="exact"/>
        <w:ind w:firstLine="420"/>
        <w:rPr>
          <w:rFonts w:ascii="Arial" w:hAnsi="Arial" w:cs="Arial"/>
          <w:szCs w:val="21"/>
          <w:u w:val="single"/>
        </w:rPr>
      </w:pPr>
      <w:r>
        <w:rPr>
          <w:rFonts w:ascii="Arial" w:hAnsi="Arial" w:cs="Arial"/>
          <w:szCs w:val="21"/>
        </w:rPr>
        <w:t>银行账号：</w:t>
      </w:r>
      <w:r>
        <w:rPr>
          <w:rFonts w:ascii="Arial" w:hAnsi="Arial" w:cs="Arial"/>
          <w:szCs w:val="21"/>
          <w:u w:val="single"/>
        </w:rPr>
        <w:t xml:space="preserve">2682 1201 0108 4782 11 </w:t>
      </w:r>
    </w:p>
    <w:p w14:paraId="5DABA202">
      <w:pPr>
        <w:pStyle w:val="11"/>
        <w:spacing w:line="400" w:lineRule="exact"/>
        <w:ind w:firstLine="420"/>
      </w:pPr>
      <w:r>
        <w:rPr>
          <w:rFonts w:ascii="Arial" w:hAnsi="Arial" w:cs="Arial"/>
          <w:b/>
          <w:bCs/>
        </w:rPr>
        <w:t>办理投标保证金手续时，请务必在银行进帐单或电汇单的用途或空白栏上注明</w:t>
      </w:r>
      <w:r>
        <w:rPr>
          <w:rFonts w:hint="eastAsia" w:ascii="Arial" w:hAnsi="Arial" w:cs="Arial"/>
          <w:b/>
          <w:bCs/>
        </w:rPr>
        <w:t>分标名称</w:t>
      </w:r>
      <w:r>
        <w:rPr>
          <w:rFonts w:ascii="Arial" w:hAnsi="Arial" w:cs="Arial"/>
          <w:b/>
          <w:bCs/>
        </w:rPr>
        <w:t>，以免耽误投标。</w:t>
      </w:r>
    </w:p>
    <w:p w14:paraId="1C730477">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ascii="Arial" w:hAnsi="Arial" w:cs="Arial"/>
          <w:sz w:val="21"/>
          <w:szCs w:val="21"/>
          <w:shd w:val="clear" w:color="auto" w:fill="FFFFFF"/>
        </w:rPr>
        <w:t>3.</w:t>
      </w:r>
      <w:r>
        <w:rPr>
          <w:rFonts w:hint="default" w:ascii="Arial" w:hAnsi="Arial" w:cs="Arial"/>
          <w:sz w:val="21"/>
          <w:szCs w:val="21"/>
          <w:shd w:val="clear" w:color="auto" w:fill="FFFFFF"/>
        </w:rPr>
        <w:t>投标人投标注意事项</w:t>
      </w:r>
    </w:p>
    <w:p w14:paraId="037F05A0">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（1）本项目为全流程电子化采购项目，通过广西政府采购云平台（https</w:t>
      </w:r>
      <w:r>
        <w:rPr>
          <w:rFonts w:ascii="Arial" w:hAnsi="Arial" w:cs="Arial"/>
          <w:sz w:val="21"/>
          <w:szCs w:val="21"/>
          <w:shd w:val="clear" w:color="auto" w:fill="FFFFFF"/>
        </w:rPr>
        <w:t>：</w:t>
      </w:r>
      <w:r>
        <w:rPr>
          <w:rFonts w:hint="default" w:ascii="Arial" w:hAnsi="Arial" w:cs="Arial"/>
          <w:sz w:val="21"/>
          <w:szCs w:val="21"/>
          <w:shd w:val="clear" w:color="auto" w:fill="FFFFFF"/>
        </w:rPr>
        <w:t>//www.gcy.zfcg.gxzf.gov.cn/）实行在线电子投标，投标人应先安装“广西政府采购云电子投标客户端”（请自行前往“广西政府采购云”平台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3B078E09">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客服热线：95763）。</w:t>
      </w:r>
    </w:p>
    <w:p w14:paraId="2BE0D0FA">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（3）CA证书在线解密：投标人投标时，需凭制作投标文件时用来加密的有效数字证书（CA认证）登录“广西政府采购云”平台电子开标大厅现场按规定时间对加密的投标文件进行解密，否则后果自负。</w:t>
      </w:r>
    </w:p>
    <w:p w14:paraId="6ABDDB43">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10918E62">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hint="default" w:ascii="Arial" w:hAnsi="Arial" w:cs="Arial"/>
          <w:sz w:val="21"/>
          <w:szCs w:val="21"/>
          <w:shd w:val="clear" w:color="auto" w:fill="FFFFFF"/>
        </w:rPr>
        <w:t>（4）电子标项目不要求参与投标的投标人到达现场，但投标人应派法定代表人或委托代理人准时在线出席电子开评标会议，随时关注开评标进度，如在开评标过程中有电子询标，应在规定的时间内对电子询标函进行澄清回复。</w:t>
      </w:r>
    </w:p>
    <w:p w14:paraId="3B0FEE70">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ascii="Arial" w:hAnsi="Arial" w:cs="Arial"/>
          <w:sz w:val="21"/>
          <w:szCs w:val="21"/>
          <w:shd w:val="clear" w:color="auto" w:fill="FFFFFF"/>
        </w:rPr>
        <w:t>4</w:t>
      </w:r>
      <w:r>
        <w:rPr>
          <w:rFonts w:hint="default" w:ascii="Arial" w:hAnsi="Arial" w:cs="Arial"/>
          <w:sz w:val="21"/>
          <w:szCs w:val="21"/>
          <w:shd w:val="clear" w:color="auto" w:fill="FFFFFF"/>
        </w:rPr>
        <w:t>.本项目需要落实的政府采购政策： （1）《政府采购促进中小企业发展管理办法》的通知（财库[2020]46号）。 （2）《关于促进残疾人就业政府采购政策的通知》（财库[2017] 141号）。 （3）《关于政府采购支持监狱企业发展有关问题的通知》（财库[2014]68号）。</w:t>
      </w:r>
    </w:p>
    <w:p w14:paraId="6D3B184D">
      <w:pPr>
        <w:pStyle w:val="7"/>
        <w:spacing w:before="0" w:beforeAutospacing="0" w:after="0" w:afterAutospacing="0" w:line="330" w:lineRule="exact"/>
        <w:ind w:firstLine="420" w:firstLineChars="200"/>
        <w:rPr>
          <w:rFonts w:hint="default" w:ascii="Arial" w:hAnsi="Arial" w:cs="Arial"/>
          <w:sz w:val="21"/>
          <w:szCs w:val="21"/>
          <w:shd w:val="clear" w:color="auto" w:fill="FFFFFF"/>
        </w:rPr>
      </w:pPr>
      <w:r>
        <w:rPr>
          <w:rFonts w:ascii="Arial" w:hAnsi="Arial" w:cs="Arial"/>
          <w:sz w:val="21"/>
          <w:szCs w:val="21"/>
          <w:shd w:val="clear" w:color="auto" w:fill="FFFFFF"/>
        </w:rPr>
        <w:t>5</w:t>
      </w:r>
      <w:r>
        <w:rPr>
          <w:rFonts w:hint="default" w:ascii="Arial" w:hAnsi="Arial" w:cs="Arial"/>
          <w:sz w:val="21"/>
          <w:szCs w:val="21"/>
          <w:shd w:val="clear" w:color="auto" w:fill="FFFFFF"/>
        </w:rPr>
        <w:t>.</w:t>
      </w:r>
      <w:r>
        <w:rPr>
          <w:rFonts w:ascii="Arial" w:hAnsi="Arial" w:cs="Arial"/>
          <w:sz w:val="21"/>
          <w:szCs w:val="21"/>
          <w:shd w:val="clear" w:color="auto" w:fill="FFFFFF"/>
        </w:rPr>
        <w:t>其他事项：本项目为线上电子招标项目，采用远程异地评标，有意向参与本项目的供应商应当做好参与全流程电子招投标交易的充分准备。</w:t>
      </w:r>
    </w:p>
    <w:p w14:paraId="0F20251B">
      <w:pPr>
        <w:pStyle w:val="7"/>
        <w:spacing w:before="0" w:beforeAutospacing="0" w:after="0" w:afterAutospacing="0" w:line="330" w:lineRule="exact"/>
        <w:ind w:firstLine="420" w:firstLineChars="200"/>
        <w:rPr>
          <w:rFonts w:asciiTheme="minorEastAsia" w:hAnsiTheme="minorEastAsia" w:eastAsiaTheme="minorEastAsia" w:cstheme="minorEastAsia"/>
          <w:sz w:val="21"/>
          <w:szCs w:val="21"/>
        </w:rPr>
      </w:pPr>
      <w:r>
        <w:rPr>
          <w:rFonts w:ascii="Arial" w:hAnsi="Arial" w:cs="Arial"/>
          <w:sz w:val="21"/>
          <w:szCs w:val="21"/>
          <w:shd w:val="clear" w:color="auto" w:fill="FFFFFF"/>
        </w:rPr>
        <w:t>6</w:t>
      </w:r>
      <w:r>
        <w:rPr>
          <w:rFonts w:hint="default" w:ascii="Arial" w:hAnsi="Arial" w:cs="Arial"/>
          <w:sz w:val="21"/>
          <w:szCs w:val="21"/>
          <w:shd w:val="clear" w:color="auto" w:fill="FFFFFF"/>
        </w:rPr>
        <w:t>.监督部门：广西壮族自治区政府采购监督管理处；联系电话：0771-5331810</w:t>
      </w:r>
      <w:r>
        <w:rPr>
          <w:rFonts w:asciiTheme="minorEastAsia" w:hAnsiTheme="minorEastAsia" w:eastAsiaTheme="minorEastAsia" w:cstheme="minorEastAsia"/>
          <w:sz w:val="21"/>
          <w:szCs w:val="21"/>
        </w:rPr>
        <w:t> </w:t>
      </w:r>
    </w:p>
    <w:p w14:paraId="5F3C3C45">
      <w:pPr>
        <w:pStyle w:val="7"/>
        <w:spacing w:before="255" w:beforeAutospacing="0" w:after="255" w:afterAutospacing="0" w:line="330" w:lineRule="exact"/>
        <w:jc w:val="both"/>
        <w:rPr>
          <w:rFonts w:asciiTheme="minorEastAsia" w:hAnsiTheme="minorEastAsia" w:eastAsiaTheme="minorEastAsia" w:cstheme="minorEastAsia"/>
          <w:sz w:val="21"/>
          <w:szCs w:val="21"/>
        </w:rPr>
      </w:pPr>
      <w:r>
        <w:rPr>
          <w:rStyle w:val="20"/>
          <w:rFonts w:asciiTheme="minorEastAsia" w:hAnsiTheme="minorEastAsia" w:eastAsiaTheme="minorEastAsia" w:cstheme="minorEastAsia"/>
          <w:sz w:val="21"/>
          <w:szCs w:val="21"/>
        </w:rPr>
        <w:t>七、对本次采购提出询问，请按以下方式联系</w:t>
      </w:r>
    </w:p>
    <w:p w14:paraId="24E11D8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1.采购人信息</w:t>
      </w:r>
    </w:p>
    <w:p w14:paraId="6B3589B2">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名    称：广西壮族自治区胸科医院 </w:t>
      </w:r>
    </w:p>
    <w:p w14:paraId="7FF05577">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地    址：广西壮族自治区柳州市鱼峰区羊角山路8号 </w:t>
      </w:r>
    </w:p>
    <w:p w14:paraId="420BB45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项目联系人：陈纪飞  </w:t>
      </w:r>
    </w:p>
    <w:p w14:paraId="561215B1">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项目联系方式：0772-3130415 </w:t>
      </w:r>
    </w:p>
    <w:p w14:paraId="0ED707F6">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2.采购代理机构信息            </w:t>
      </w:r>
    </w:p>
    <w:p w14:paraId="6A5927FB">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名    称：广西同泽工程项目管理股份有限公司             </w:t>
      </w:r>
    </w:p>
    <w:p w14:paraId="795FAA30">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地    址：柳州市桂中大道南端6号九洲国际10楼              </w:t>
      </w:r>
    </w:p>
    <w:p w14:paraId="6610E3C1">
      <w:pPr>
        <w:pStyle w:val="7"/>
        <w:spacing w:before="75" w:beforeAutospacing="0" w:after="75" w:afterAutospacing="0" w:line="330" w:lineRule="exact"/>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    项目联系人：黄春柳              </w:t>
      </w:r>
    </w:p>
    <w:p w14:paraId="30FE47BE">
      <w:pPr>
        <w:spacing w:line="330" w:lineRule="exact"/>
      </w:pPr>
      <w:r>
        <w:rPr>
          <w:rFonts w:hint="eastAsia" w:asciiTheme="minorEastAsia" w:hAnsiTheme="minorEastAsia" w:eastAsiaTheme="minorEastAsia" w:cstheme="minorEastAsia"/>
          <w:szCs w:val="21"/>
        </w:rPr>
        <w:t>    项目联系方式：0772-3808868</w:t>
      </w:r>
    </w:p>
    <w:bookmarkEnd w:id="14"/>
    <w:bookmarkEnd w:id="15"/>
    <w:bookmarkEnd w:id="16"/>
    <w:bookmarkEnd w:id="17"/>
    <w:p w14:paraId="1E488B9C">
      <w:pPr>
        <w:pStyle w:val="2"/>
        <w:spacing w:line="440" w:lineRule="exact"/>
        <w:jc w:val="center"/>
        <w:rPr>
          <w:sz w:val="32"/>
          <w:szCs w:val="32"/>
        </w:rPr>
        <w:sectPr>
          <w:headerReference r:id="rId5" w:type="default"/>
          <w:footerReference r:id="rId6" w:type="default"/>
          <w:pgSz w:w="11906" w:h="16838"/>
          <w:pgMar w:top="1440" w:right="1440" w:bottom="1440" w:left="1440" w:header="851" w:footer="992" w:gutter="0"/>
          <w:pgNumType w:start="1"/>
          <w:cols w:space="720" w:num="1"/>
          <w:docGrid w:linePitch="312" w:charSpace="0"/>
        </w:sectPr>
      </w:pPr>
      <w:bookmarkStart w:id="18" w:name="_Toc4695"/>
      <w:bookmarkStart w:id="19" w:name="_Toc14063"/>
      <w:bookmarkStart w:id="20" w:name="_Toc9691"/>
      <w:bookmarkStart w:id="21" w:name="_Toc82792178"/>
      <w:bookmarkStart w:id="22" w:name="_Toc32117"/>
      <w:bookmarkStart w:id="23" w:name="_Toc13432"/>
      <w:bookmarkStart w:id="24" w:name="_Toc6411"/>
      <w:bookmarkStart w:id="25" w:name="_Toc21437"/>
    </w:p>
    <w:p w14:paraId="461A1CB5">
      <w:pPr>
        <w:pStyle w:val="2"/>
        <w:spacing w:line="440" w:lineRule="exact"/>
        <w:jc w:val="center"/>
        <w:rPr>
          <w:sz w:val="32"/>
          <w:szCs w:val="32"/>
        </w:rPr>
      </w:pPr>
      <w:r>
        <w:rPr>
          <w:rFonts w:hint="eastAsia"/>
          <w:sz w:val="32"/>
          <w:szCs w:val="32"/>
        </w:rPr>
        <w:t>第二章  采购需求</w:t>
      </w:r>
      <w:bookmarkEnd w:id="18"/>
      <w:bookmarkEnd w:id="19"/>
      <w:bookmarkEnd w:id="20"/>
      <w:bookmarkEnd w:id="21"/>
    </w:p>
    <w:p w14:paraId="72CC2990">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说明：</w:t>
      </w:r>
    </w:p>
    <w:p w14:paraId="1D63630A">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（一）本一览表中的品牌、型号仅起参考作用，投标人可选用其他品牌型号替代，但这些替代的产品要实质上满足或优于参考品牌、型号及其技术参数性能（配置）要求。</w:t>
      </w:r>
    </w:p>
    <w:p w14:paraId="08DB3580">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（二）本一览表中参考品牌、型号及技术参数性能（配置）不明确或有误的，或投标人选用其他品牌型号替代的，请说明品牌型号和详细、正确的技术参数性能（配置）同时填写投标报价明细表和技术响应表。</w:t>
      </w:r>
    </w:p>
    <w:p w14:paraId="5CA0322F">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（三）标记“▲”符号的为实质性响应内容，该内容仅限于“第二章 采购需求”，评审时投标人的响应内容发生负偏离一项以上的，视为投标无效。关于“项数”的规定，凡标有最低一级序号的指标项即为一项技术条款，无论是否隶属于上一级编号（有特别说明的除外）。</w:t>
      </w:r>
    </w:p>
    <w:p w14:paraId="08B2283E">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四）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35BE8CF8">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五）提供相同品牌产品且通过资格审查、符合性审查的不同投标人参加同一合同项下的投标，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A32D3A4">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非单一产品采购项目中，多家投标人提供的核心产品品牌相同的，视为提供相同品牌产品，核心产品的名称在招标文件第二章“采购需求”注明。</w:t>
      </w:r>
    </w:p>
    <w:p w14:paraId="3AEE3AB5">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（六）根据财办库〔2008〕248号文件有关规定，本项目不允许进口产品参加报价。</w:t>
      </w:r>
    </w:p>
    <w:p w14:paraId="604EFC75">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七）投标人必须为其响应产品侵犯其他投标人或专利人的专利成果承担相应法律责任；同时，具有产品专利的投标人应在其投标文件中提供与其自有产品专利相关的有效证明材料，否则，不能就其产品的专利在本项目响应过程中被侵权问题提出异议。</w:t>
      </w:r>
    </w:p>
    <w:p w14:paraId="5137F204">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（八）若采购货物属于</w:t>
      </w:r>
      <w:r>
        <w:fldChar w:fldCharType="begin"/>
      </w:r>
      <w:r>
        <w:instrText xml:space="preserve">HYPERLINK "http://gks.mof.gov.cn/zhengfucaigouguanli/201904/P020190402638613799126.pdf"</w:instrText>
      </w:r>
      <w:r>
        <w:fldChar w:fldCharType="separate"/>
      </w:r>
      <w:r>
        <w:rPr>
          <w:rFonts w:hint="eastAsia" w:ascii="宋体" w:hAnsi="宋体" w:cs="宋体"/>
          <w:b/>
          <w:bCs/>
          <w:szCs w:val="21"/>
        </w:rPr>
        <w:t>节能产品政府采购品目清单</w:t>
      </w:r>
      <w:r>
        <w:rPr>
          <w:rFonts w:ascii="宋体" w:hAnsi="宋体" w:cs="宋体"/>
          <w:b/>
          <w:bCs/>
          <w:szCs w:val="21"/>
        </w:rPr>
        <w:fldChar w:fldCharType="end"/>
      </w:r>
      <w:r>
        <w:rPr>
          <w:rFonts w:hint="eastAsia" w:ascii="宋体" w:hAnsi="宋体" w:cs="宋体"/>
          <w:b/>
          <w:bCs/>
          <w:szCs w:val="21"/>
        </w:rPr>
        <w:t>范围的，投标人的投标货物必须使用政府强制采购的节能产品，品目清单请从中国政府采购网（www.ccgp.gov.cn）查询下载，有属于政府强制节能产品的，必须提供所投产品的证明材料（国家确定的认证机构出具的、处于有效期之内的节能产品认证证书材料，加盖投标人CA电子签章），否则其投标无效。</w:t>
      </w:r>
    </w:p>
    <w:p w14:paraId="6A4C514D">
      <w:pPr>
        <w:spacing w:line="370" w:lineRule="exact"/>
        <w:ind w:right="-330" w:rightChars="-157" w:firstLine="422" w:firstLineChars="200"/>
        <w:rPr>
          <w:rFonts w:hint="eastAsia" w:ascii="宋体" w:hAnsi="宋体" w:cs="宋体"/>
          <w:b/>
          <w:bCs/>
          <w:szCs w:val="21"/>
        </w:rPr>
      </w:pPr>
      <w:r>
        <w:rPr>
          <w:rFonts w:hint="eastAsia" w:ascii="宋体" w:hAnsi="宋体" w:cs="宋体"/>
          <w:b/>
          <w:bCs/>
          <w:szCs w:val="21"/>
        </w:rPr>
        <w:t>（九）本货物需求一览表的技术参数要求中未特别列明的技术要求参照国家相关技术标准执。</w:t>
      </w:r>
    </w:p>
    <w:p w14:paraId="0CD7EC9D">
      <w:pPr>
        <w:pStyle w:val="22"/>
        <w:rPr>
          <w:rFonts w:hint="eastAsia" w:ascii="宋体" w:hAnsi="宋体" w:cs="宋体"/>
          <w:b/>
          <w:bCs/>
          <w:color w:val="auto"/>
          <w:sz w:val="21"/>
          <w:szCs w:val="21"/>
        </w:rPr>
      </w:pPr>
    </w:p>
    <w:p w14:paraId="529CFD41">
      <w:pPr>
        <w:rPr>
          <w:rFonts w:hint="eastAsia" w:ascii="宋体" w:hAnsi="宋体" w:cs="宋体"/>
          <w:b/>
          <w:bCs/>
          <w:szCs w:val="21"/>
        </w:rPr>
      </w:pPr>
    </w:p>
    <w:p w14:paraId="6BAC859F">
      <w:pPr>
        <w:pStyle w:val="22"/>
        <w:rPr>
          <w:rFonts w:hint="eastAsia" w:ascii="宋体" w:hAnsi="宋体" w:cs="宋体"/>
          <w:b/>
          <w:bCs/>
          <w:color w:val="auto"/>
          <w:sz w:val="21"/>
          <w:szCs w:val="21"/>
        </w:rPr>
      </w:pPr>
    </w:p>
    <w:p w14:paraId="548F0AE3">
      <w:pPr>
        <w:rPr>
          <w:rFonts w:hint="eastAsia" w:ascii="宋体" w:hAnsi="宋体" w:cs="宋体"/>
          <w:b/>
          <w:bCs/>
          <w:szCs w:val="21"/>
        </w:rPr>
      </w:pPr>
    </w:p>
    <w:p w14:paraId="0EA1967C">
      <w:pPr>
        <w:pStyle w:val="22"/>
        <w:rPr>
          <w:rFonts w:hint="eastAsia" w:ascii="宋体" w:hAnsi="宋体" w:cs="宋体"/>
          <w:b/>
          <w:bCs/>
          <w:color w:val="auto"/>
          <w:sz w:val="21"/>
          <w:szCs w:val="21"/>
        </w:rPr>
      </w:pPr>
    </w:p>
    <w:p w14:paraId="6816DBBA">
      <w:pPr>
        <w:rPr>
          <w:rFonts w:hint="eastAsia" w:ascii="宋体" w:hAnsi="宋体" w:cs="宋体"/>
          <w:b/>
          <w:bCs/>
          <w:szCs w:val="21"/>
        </w:rPr>
      </w:pPr>
    </w:p>
    <w:p w14:paraId="434291B9">
      <w:pPr>
        <w:pStyle w:val="22"/>
        <w:numPr>
          <w:ilvl w:val="0"/>
          <w:numId w:val="1"/>
        </w:numPr>
        <w:jc w:val="center"/>
        <w:rPr>
          <w:rFonts w:ascii="Arial" w:hAnsi="Arial" w:eastAsia="宋体" w:cs="Arial"/>
          <w:b/>
          <w:bCs/>
          <w:color w:val="auto"/>
          <w:sz w:val="28"/>
          <w:szCs w:val="28"/>
        </w:rPr>
        <w:sectPr>
          <w:pgSz w:w="11906" w:h="16838"/>
          <w:pgMar w:top="1440" w:right="1440" w:bottom="1440" w:left="1440" w:header="851" w:footer="992" w:gutter="0"/>
          <w:cols w:space="720" w:num="1"/>
          <w:docGrid w:linePitch="312" w:charSpace="0"/>
        </w:sectPr>
      </w:pPr>
    </w:p>
    <w:p w14:paraId="04186925">
      <w:pPr>
        <w:pStyle w:val="22"/>
        <w:jc w:val="center"/>
        <w:rPr>
          <w:rFonts w:ascii="Arial" w:hAnsi="Arial" w:eastAsia="宋体" w:cs="Arial"/>
          <w:b/>
          <w:bCs/>
          <w:color w:val="auto"/>
          <w:sz w:val="28"/>
          <w:szCs w:val="28"/>
        </w:rPr>
      </w:pPr>
      <w:r>
        <w:rPr>
          <w:rFonts w:hint="eastAsia" w:ascii="Arial" w:hAnsi="Arial" w:eastAsia="宋体" w:cs="Arial"/>
          <w:b/>
          <w:bCs/>
          <w:color w:val="auto"/>
          <w:sz w:val="28"/>
          <w:szCs w:val="28"/>
        </w:rPr>
        <w:t>一、</w:t>
      </w:r>
      <w:r>
        <w:rPr>
          <w:rFonts w:ascii="Arial" w:hAnsi="Arial" w:eastAsia="宋体" w:cs="Arial"/>
          <w:b/>
          <w:bCs/>
          <w:color w:val="auto"/>
          <w:sz w:val="28"/>
          <w:szCs w:val="28"/>
        </w:rPr>
        <w:t>货物采购需求及技术要求</w:t>
      </w:r>
    </w:p>
    <w:p w14:paraId="3786759A"/>
    <w:tbl>
      <w:tblPr>
        <w:tblStyle w:val="18"/>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66"/>
        <w:gridCol w:w="566"/>
        <w:gridCol w:w="7364"/>
        <w:gridCol w:w="11"/>
      </w:tblGrid>
      <w:tr w14:paraId="725C1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33" w:type="dxa"/>
            <w:gridSpan w:val="5"/>
            <w:tcBorders>
              <w:bottom w:val="single" w:color="auto" w:sz="4" w:space="0"/>
            </w:tcBorders>
            <w:vAlign w:val="center"/>
          </w:tcPr>
          <w:p w14:paraId="3C5A6186">
            <w:pPr>
              <w:widowControl/>
              <w:jc w:val="center"/>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1分标技术参数要求</w:t>
            </w:r>
          </w:p>
        </w:tc>
      </w:tr>
      <w:tr w14:paraId="1E65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9333" w:type="dxa"/>
            <w:gridSpan w:val="5"/>
            <w:tcBorders>
              <w:bottom w:val="single" w:color="auto" w:sz="4" w:space="0"/>
            </w:tcBorders>
            <w:vAlign w:val="center"/>
          </w:tcPr>
          <w:p w14:paraId="52E7B70B">
            <w:pPr>
              <w:widowControl/>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1分标核心产品：项号1：生理驱动模拟人</w:t>
            </w:r>
          </w:p>
        </w:tc>
      </w:tr>
      <w:tr w14:paraId="330A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26" w:type="dxa"/>
            <w:tcBorders>
              <w:bottom w:val="single" w:color="auto" w:sz="4" w:space="0"/>
            </w:tcBorders>
            <w:vAlign w:val="center"/>
          </w:tcPr>
          <w:p w14:paraId="4926B77C">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项号</w:t>
            </w:r>
          </w:p>
        </w:tc>
        <w:tc>
          <w:tcPr>
            <w:tcW w:w="966" w:type="dxa"/>
            <w:tcBorders>
              <w:bottom w:val="single" w:color="auto" w:sz="4" w:space="0"/>
            </w:tcBorders>
            <w:vAlign w:val="center"/>
          </w:tcPr>
          <w:p w14:paraId="6D59DEA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货物名称</w:t>
            </w:r>
          </w:p>
        </w:tc>
        <w:tc>
          <w:tcPr>
            <w:tcW w:w="566" w:type="dxa"/>
            <w:tcBorders>
              <w:bottom w:val="single" w:color="auto" w:sz="4" w:space="0"/>
            </w:tcBorders>
            <w:vAlign w:val="center"/>
          </w:tcPr>
          <w:p w14:paraId="2BBF4E8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数量</w:t>
            </w:r>
          </w:p>
        </w:tc>
        <w:tc>
          <w:tcPr>
            <w:tcW w:w="7375" w:type="dxa"/>
            <w:gridSpan w:val="2"/>
            <w:tcBorders>
              <w:bottom w:val="single" w:color="auto" w:sz="4" w:space="0"/>
            </w:tcBorders>
            <w:vAlign w:val="center"/>
          </w:tcPr>
          <w:p w14:paraId="6534BB81">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技术参数要求</w:t>
            </w:r>
          </w:p>
        </w:tc>
      </w:tr>
      <w:tr w14:paraId="3862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426" w:type="dxa"/>
            <w:tcBorders>
              <w:top w:val="single" w:color="auto" w:sz="4" w:space="0"/>
              <w:bottom w:val="single" w:color="auto" w:sz="4" w:space="0"/>
            </w:tcBorders>
            <w:vAlign w:val="center"/>
          </w:tcPr>
          <w:p w14:paraId="277864AD">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w:t>
            </w:r>
          </w:p>
        </w:tc>
        <w:tc>
          <w:tcPr>
            <w:tcW w:w="966" w:type="dxa"/>
            <w:tcBorders>
              <w:top w:val="single" w:color="auto" w:sz="4" w:space="0"/>
              <w:left w:val="single" w:color="auto" w:sz="4" w:space="0"/>
              <w:bottom w:val="single" w:color="auto" w:sz="4" w:space="0"/>
              <w:right w:val="single" w:color="auto" w:sz="4" w:space="0"/>
            </w:tcBorders>
            <w:shd w:val="clear" w:color="auto" w:fill="auto"/>
            <w:vAlign w:val="center"/>
          </w:tcPr>
          <w:p w14:paraId="50BAFC31">
            <w:pPr>
              <w:widowControl/>
              <w:jc w:val="left"/>
              <w:rPr>
                <w:rFonts w:hint="eastAsia" w:ascii="宋体" w:hAnsi="宋体" w:cstheme="minorEastAsia"/>
                <w:kern w:val="0"/>
                <w:szCs w:val="21"/>
                <w:lang w:bidi="ar"/>
              </w:rPr>
            </w:pPr>
            <w:r>
              <w:rPr>
                <w:rFonts w:hint="eastAsia" w:ascii="宋体" w:hAnsi="宋体" w:cs="Calibri"/>
                <w:kern w:val="0"/>
                <w:szCs w:val="21"/>
              </w:rPr>
              <w:t>生理驱动模拟人</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14:paraId="3069B83F">
            <w:pPr>
              <w:widowControl/>
              <w:jc w:val="left"/>
              <w:rPr>
                <w:rFonts w:hint="eastAsia" w:ascii="宋体" w:hAnsi="宋体" w:cstheme="minorEastAsia"/>
                <w:kern w:val="0"/>
                <w:szCs w:val="21"/>
                <w:lang w:bidi="ar"/>
              </w:rPr>
            </w:pPr>
            <w:r>
              <w:rPr>
                <w:rFonts w:hint="eastAsia" w:ascii="宋体" w:hAnsi="宋体" w:cs="Calibri"/>
                <w:kern w:val="0"/>
                <w:szCs w:val="21"/>
              </w:rPr>
              <w:t>2套</w:t>
            </w:r>
          </w:p>
        </w:tc>
        <w:tc>
          <w:tcPr>
            <w:tcW w:w="7375" w:type="dxa"/>
            <w:gridSpan w:val="2"/>
            <w:tcBorders>
              <w:top w:val="single" w:color="auto" w:sz="4" w:space="0"/>
              <w:bottom w:val="single" w:color="auto" w:sz="4" w:space="0"/>
            </w:tcBorders>
          </w:tcPr>
          <w:p w14:paraId="62CE178F">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一、模拟人体的呼吸、循环、血流动力学等系统，通过进行临床救护、用药处理等培训，达到临床教学目的。</w:t>
            </w:r>
          </w:p>
          <w:p w14:paraId="176ABE84">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二、基本配置要求：</w:t>
            </w:r>
          </w:p>
          <w:p w14:paraId="751B813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1、无线连接模拟病人1个</w:t>
            </w:r>
          </w:p>
          <w:p w14:paraId="3B388B0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2、模拟导师机1台</w:t>
            </w:r>
          </w:p>
          <w:p w14:paraId="033A24A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3、病人模拟监护仪1台</w:t>
            </w:r>
          </w:p>
          <w:p w14:paraId="689CA20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4、产品应具备信息安全管理体系</w:t>
            </w:r>
          </w:p>
          <w:p w14:paraId="5C001F4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5、产品应对人体无害</w:t>
            </w:r>
          </w:p>
          <w:p w14:paraId="0BBD2E5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6、说明书1本</w:t>
            </w:r>
          </w:p>
          <w:p w14:paraId="73A71B30">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三、整体特征：</w:t>
            </w:r>
          </w:p>
          <w:p w14:paraId="6CCAF5F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1、成年人体格外观，皮肤为高分子塑胶，主体结构为金属和聚碳酸酯，皮肤及组织的触摸感需接近正常人体的触摸感，需有明确的胸部骨性标志。</w:t>
            </w:r>
          </w:p>
          <w:p w14:paraId="414C37B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2、计算机操作系统可安装于电脑中。  </w:t>
            </w:r>
          </w:p>
          <w:p w14:paraId="2401451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3、控制端电脑为触控式笔记本电脑，便于手持。</w:t>
            </w:r>
          </w:p>
          <w:p w14:paraId="5FC52BC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4、监护仪可为触控式电脑或一体机，界面模拟临床真实监护仪设计，可随时转换为导师计算机。</w:t>
            </w:r>
          </w:p>
          <w:p w14:paraId="2A2D144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5、模拟人、控制端电脑及监护电脑之间实现无线连接</w:t>
            </w:r>
          </w:p>
          <w:p w14:paraId="1E7007B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6、压缩机安装在模拟病人体内，压缩机的操作声音不会干扰模拟病人的听诊声音。</w:t>
            </w:r>
          </w:p>
          <w:p w14:paraId="4AE3DC9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7、压缩机操作期间不会引致模拟病人不必要的身体移动。</w:t>
            </w:r>
          </w:p>
          <w:p w14:paraId="2292EED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8、模拟人需具有外接电源、内置电力供应系统和气动力发生装置，在无线状态下可支持至少持续运行4小时。</w:t>
            </w:r>
          </w:p>
          <w:p w14:paraId="79E1815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9、男女外生殖器可互换。</w:t>
            </w:r>
          </w:p>
          <w:p w14:paraId="5B2C2BF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10、产品套装需包括备用的颈皮以便应用在环甲膜穿刺和气管切开术的培训上。每一条颈皮可反复多次使用。</w:t>
            </w:r>
          </w:p>
          <w:p w14:paraId="489F8DA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模拟人操作软件中具有虚拟自动体外除颤仪，能够自动感应模拟人心律，判断是否需要除颤，并给出明确的语音指导施救者的操作，同时除颤监护仪会持续监护并显示病人的心电。（投标文件中提供软件截图图片证明资料，并加盖供应商CA电子签章）</w:t>
            </w:r>
          </w:p>
          <w:p w14:paraId="2C0A213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12、模拟人操作软件的虚拟自动体外除颤仪可与模拟人监护仪同屏显示，不需要额外的显示器。</w:t>
            </w:r>
          </w:p>
          <w:p w14:paraId="1BA9749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13、虚拟自动体外除颤仪除颤放电后能对模拟人产生效果，病情会根据病例设定自动发生变化，接上除颤器电极片，除颤放电等操作会自动记录在模拟人的评估报告系统中。（投标文件中提供软件截图图片证明资料，并加盖供应商CA电子签章）</w:t>
            </w:r>
          </w:p>
          <w:p w14:paraId="4EEA28AF">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四、监护功能</w:t>
            </w:r>
          </w:p>
          <w:p w14:paraId="0827900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1、监护仪，与模拟人无线连接。可通过自身携带的监护仪显示各种监护波形和参数，可模拟连接监护导线后出现相应监护参数。</w:t>
            </w:r>
          </w:p>
          <w:p w14:paraId="70CD16D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2、可连接临床使用的监护仪或除颤器进行心电监测和心脏除颤与起搏。心电监测可自动显示与当时模拟人病情相一致的心电波形。</w:t>
            </w:r>
          </w:p>
          <w:p w14:paraId="06F1F5B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3、模拟病人监护仪可进行无线操作</w:t>
            </w:r>
          </w:p>
          <w:p w14:paraId="0B6C75E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4、可显示以下波形：</w:t>
            </w:r>
          </w:p>
          <w:p w14:paraId="5AF4D60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心电图、CO2、SpO2、动脉血压、中心静脉压、肺动脉压。</w:t>
            </w:r>
          </w:p>
          <w:p w14:paraId="7DC35E3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5、监测并显示以下参数：</w:t>
            </w:r>
          </w:p>
          <w:p w14:paraId="4B038E5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心率、脉搏、血氧饱和度、无创血压、外周体温、体核体温、有创动脉血压、肺动脉压、肺毛压、CO2、O2、N2O、呼吸率、TOF、CVP、麻醉剂、心输出率、HAL、ISO、颅内压。</w:t>
            </w:r>
          </w:p>
          <w:p w14:paraId="6277CE4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6、可显示以下辅助诊断结果：</w:t>
            </w:r>
          </w:p>
          <w:p w14:paraId="2932837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X线片、实时12导联心电图、生化检验报告等。</w:t>
            </w:r>
          </w:p>
          <w:p w14:paraId="11EA531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7、可进行以下操作：</w:t>
            </w:r>
          </w:p>
          <w:p w14:paraId="65831BB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（1）可与临床使用的监护仪一样调节波形的增幅和速度。</w:t>
            </w:r>
          </w:p>
          <w:p w14:paraId="71CAD3F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（2）可与临床使用的监护仪一样调节各种监测参数的报警上下限，并在参数超出设定好的上下限时发出报警声。</w:t>
            </w:r>
          </w:p>
          <w:p w14:paraId="0D332D3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8、监护系统可使用与控制端同类型的便携式电脑，可触摸屏幕进行操作，可随时与控制端电脑互换。</w:t>
            </w:r>
          </w:p>
          <w:p w14:paraId="7F5B23B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9、导师可通过操作计算机的界面或直接在监护仪更改监护仪显示的波形数量，系统应提供至少4个选项 (5个波形、4个波形、3个波形和大数字版面)，导师也可以更改参数显示的位置和颜色。</w:t>
            </w:r>
          </w:p>
          <w:p w14:paraId="6677452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10、系统须带有200张以上的X线片，导师也可以再自行导入X线片图。</w:t>
            </w:r>
          </w:p>
          <w:p w14:paraId="08A3EED0">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五、气道功能</w:t>
            </w:r>
          </w:p>
          <w:p w14:paraId="140D63A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1、可控制的手动或自动气道开放/关闭</w:t>
            </w:r>
          </w:p>
          <w:p w14:paraId="60B4B91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2、可用临床使用的负压吸引装置进行吸引：可分别进行口咽部吸引、鼻咽部吸引、经气管插管吸引、经气管切开吸引</w:t>
            </w:r>
          </w:p>
          <w:p w14:paraId="102D5C6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3、可面罩通气 (会被自动感应和记录在日志中)</w:t>
            </w:r>
          </w:p>
          <w:p w14:paraId="373ECC5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4、可气管插管</w:t>
            </w:r>
          </w:p>
          <w:p w14:paraId="7F31CED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5、可鼻胃管插管</w:t>
            </w:r>
          </w:p>
          <w:p w14:paraId="34D7FE0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6、可使用气管导管复合管、喉罩通气及其它气道装置</w:t>
            </w:r>
          </w:p>
          <w:p w14:paraId="5D38D46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7、可气管内插管</w:t>
            </w:r>
          </w:p>
          <w:p w14:paraId="6839D51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8、可逆行插管</w:t>
            </w:r>
          </w:p>
          <w:p w14:paraId="0DB1242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9、可纤维支气管镜插管</w:t>
            </w:r>
          </w:p>
          <w:p w14:paraId="5FC5DB7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10、可经气管喷射通气</w:t>
            </w:r>
          </w:p>
          <w:p w14:paraId="44814D8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11、可进行环甲膜穿刺和气管切开训练</w:t>
            </w:r>
          </w:p>
          <w:p w14:paraId="2F872F9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12、可变的气道阻力(3个程度)</w:t>
            </w:r>
          </w:p>
          <w:p w14:paraId="7038C87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13、可模拟插管过深进入到右主支气管</w:t>
            </w:r>
          </w:p>
          <w:p w14:paraId="4D700BB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14、正确头部位置的监测</w:t>
            </w:r>
          </w:p>
          <w:p w14:paraId="5E7E878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15、可模拟舌水肿、气道异物梗塞等情况</w:t>
            </w:r>
          </w:p>
          <w:p w14:paraId="37233A23">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六、呼吸系统</w:t>
            </w:r>
          </w:p>
          <w:p w14:paraId="5D7A2B9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1、具有自主呼吸，可模拟单侧或双侧胸部起伏，呼吸频率可调节。</w:t>
            </w:r>
          </w:p>
          <w:p w14:paraId="32E7997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2、可模拟正常或不正常的呼吸音</w:t>
            </w:r>
          </w:p>
          <w:p w14:paraId="79F696D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▲3、模拟病人身体前方有不少于4个呼吸音听诊区域，可以调节呼吸音类型和音量</w:t>
            </w:r>
          </w:p>
          <w:p w14:paraId="0405633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▲4、模拟病人身体后方有不少于5个呼吸音听诊区域，可以调节呼吸音类型和音量</w:t>
            </w:r>
          </w:p>
          <w:p w14:paraId="5DBBF5F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5、左、右肺可训练多种听诊音的听诊，包括：正常呼吸音、湿罗音、胸膜摩擦音、干罗音等</w:t>
            </w:r>
          </w:p>
          <w:p w14:paraId="0ED70AE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6、脉搏血氧饱和度的监测：在连接病人后才出现血氧饱和度读数， 并且可显示在监护仪上</w:t>
            </w:r>
          </w:p>
          <w:p w14:paraId="6AC9E60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7、可以连接真实的呼吸机进行机械通气</w:t>
            </w:r>
          </w:p>
          <w:p w14:paraId="5E8B926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8、使用面罩进行通气或插管后通气时，在计算机屏幕上会显示通气量</w:t>
            </w:r>
          </w:p>
          <w:p w14:paraId="2B7B97A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▲9、可进行双侧气胸减压培训。气胸气囊穿刺后可以重复使用，无需频繁更换。</w:t>
            </w:r>
          </w:p>
          <w:p w14:paraId="3F75207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10、双侧均可进行胸腔穿刺和放置胸部引流管</w:t>
            </w:r>
          </w:p>
          <w:p w14:paraId="0B6BE77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11、有集中听诊功能，让模拟病人自动停止呼吸，学员可以集中进行听诊练习。</w:t>
            </w:r>
          </w:p>
          <w:p w14:paraId="459BF02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▲12、呼吸音与呼吸率同步，呼吸音的频率和呼吸率一致</w:t>
            </w:r>
          </w:p>
          <w:p w14:paraId="0A59419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13、快速简单地进行通气管理教学，培养操作呼吸机的临床技能。</w:t>
            </w:r>
          </w:p>
          <w:p w14:paraId="1D37136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14、导师可以调整肺部的基本参数，创建贴近临床的精准的呼吸模型，学员机实时显示各项呼吸参数的变化。</w:t>
            </w:r>
          </w:p>
          <w:p w14:paraId="64EF46EE">
            <w:pPr>
              <w:widowControl/>
              <w:jc w:val="left"/>
              <w:rPr>
                <w:rFonts w:hint="eastAsia" w:ascii="宋体" w:hAnsi="宋体" w:cstheme="minorEastAsia"/>
                <w:kern w:val="0"/>
                <w:szCs w:val="21"/>
                <w:lang w:bidi="ar"/>
              </w:rPr>
            </w:pPr>
            <w:r>
              <w:rPr>
                <w:rFonts w:ascii="宋体" w:hAnsi="宋体" w:cstheme="minorEastAsia"/>
                <w:kern w:val="0"/>
                <w:szCs w:val="21"/>
                <w:lang w:bidi="ar"/>
              </w:rPr>
              <w:t>1</w:t>
            </w:r>
            <w:r>
              <w:rPr>
                <w:rFonts w:hint="eastAsia" w:ascii="宋体" w:hAnsi="宋体" w:cstheme="minorEastAsia"/>
                <w:kern w:val="0"/>
                <w:szCs w:val="21"/>
                <w:lang w:bidi="ar"/>
              </w:rPr>
              <w:t>5、</w:t>
            </w:r>
            <w:r>
              <w:rPr>
                <w:rFonts w:ascii="宋体" w:hAnsi="宋体" w:cstheme="minorEastAsia"/>
                <w:kern w:val="0"/>
                <w:szCs w:val="21"/>
                <w:lang w:bidi="ar"/>
              </w:rPr>
              <w:t>导师机可调节参数有：</w:t>
            </w:r>
          </w:p>
          <w:p w14:paraId="4A80F85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患者基本信息：性别、体重、身高、气道阻力、顺应性、最大自主吸气量。</w:t>
            </w:r>
          </w:p>
          <w:p w14:paraId="50C51B2B">
            <w:pPr>
              <w:widowControl/>
              <w:jc w:val="left"/>
              <w:rPr>
                <w:rFonts w:hint="eastAsia" w:ascii="宋体" w:hAnsi="宋体" w:cstheme="minorEastAsia"/>
                <w:kern w:val="0"/>
                <w:szCs w:val="21"/>
                <w:lang w:bidi="ar"/>
              </w:rPr>
            </w:pPr>
            <w:r>
              <w:rPr>
                <w:rFonts w:ascii="宋体" w:hAnsi="宋体" w:cstheme="minorEastAsia"/>
                <w:kern w:val="0"/>
                <w:szCs w:val="21"/>
                <w:lang w:bidi="ar"/>
              </w:rPr>
              <w:t>1</w:t>
            </w:r>
            <w:r>
              <w:rPr>
                <w:rFonts w:hint="eastAsia" w:ascii="宋体" w:hAnsi="宋体" w:cstheme="minorEastAsia"/>
                <w:kern w:val="0"/>
                <w:szCs w:val="21"/>
                <w:lang w:bidi="ar"/>
              </w:rPr>
              <w:t>6、</w:t>
            </w:r>
            <w:r>
              <w:rPr>
                <w:rFonts w:ascii="宋体" w:hAnsi="宋体" w:cstheme="minorEastAsia"/>
                <w:kern w:val="0"/>
                <w:szCs w:val="21"/>
                <w:lang w:bidi="ar"/>
              </w:rPr>
              <w:t>应用自带呼吸模型：急性呼吸窘迫综合征（轻、中、重）、慢性阻塞性肺疾病（轻、中、重）、肺纤维化（轻、中、重）、用户可根据自身培训需求，</w:t>
            </w:r>
            <w:r>
              <w:rPr>
                <w:rFonts w:hint="eastAsia" w:ascii="宋体" w:hAnsi="宋体" w:cstheme="minorEastAsia"/>
                <w:kern w:val="0"/>
                <w:szCs w:val="21"/>
                <w:lang w:bidi="ar"/>
              </w:rPr>
              <w:t>可</w:t>
            </w:r>
            <w:r>
              <w:rPr>
                <w:rFonts w:ascii="宋体" w:hAnsi="宋体" w:cstheme="minorEastAsia"/>
                <w:kern w:val="0"/>
                <w:szCs w:val="21"/>
                <w:lang w:bidi="ar"/>
              </w:rPr>
              <w:t>设计并保存个性化的肺部模型。</w:t>
            </w:r>
          </w:p>
          <w:p w14:paraId="34B0257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17、应用系统自带的常见机械通气并发症，并发症中自带超声、放射等检查结果，导师可在运行并发症时，向学生机投送检查结果。</w:t>
            </w:r>
          </w:p>
          <w:p w14:paraId="649A7F8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18、学生机可调节参数有：</w:t>
            </w:r>
          </w:p>
          <w:p w14:paraId="161B3F7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采用临床通用呼吸机界面，显示气道压力、流量和容量波形，</w:t>
            </w:r>
          </w:p>
          <w:p w14:paraId="2E5DFDB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患者基本信息：性别、体重、身高</w:t>
            </w:r>
          </w:p>
          <w:p w14:paraId="66DB0E4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报警设置：呼吸频率、分钟通气量、TV、Ppeak、窒息等</w:t>
            </w:r>
          </w:p>
          <w:p w14:paraId="7CBF877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通气模式：CMV、SIMV、AC等</w:t>
            </w:r>
          </w:p>
          <w:p w14:paraId="5ABDD47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每种通气模式均可调节临床常用的多种参数：FiO2、TV、PEEP、Pmax、RR、Flow、PS等</w:t>
            </w:r>
          </w:p>
          <w:p w14:paraId="3F8D0EC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每种通气模式均可监控临床常用的多种参数：气道峰压、平台压、FiO2、TV、分钟通气量等，学生机可实时显示导师机的任何更新。</w:t>
            </w:r>
          </w:p>
          <w:p w14:paraId="217CECEB">
            <w:pPr>
              <w:widowControl/>
              <w:jc w:val="left"/>
              <w:rPr>
                <w:rFonts w:hint="eastAsia" w:ascii="宋体" w:hAnsi="宋体" w:cstheme="minorEastAsia"/>
                <w:kern w:val="0"/>
                <w:szCs w:val="21"/>
                <w:lang w:bidi="ar"/>
              </w:rPr>
            </w:pPr>
            <w:r>
              <w:rPr>
                <w:rFonts w:hint="eastAsia" w:ascii="Segoe UI Symbol" w:hAnsi="Segoe UI Symbol" w:cs="Segoe UI Symbol"/>
                <w:kern w:val="0"/>
                <w:szCs w:val="21"/>
                <w:lang w:bidi="ar"/>
              </w:rPr>
              <w:t>19</w:t>
            </w:r>
            <w:r>
              <w:rPr>
                <w:rFonts w:hint="eastAsia" w:ascii="宋体" w:hAnsi="宋体" w:cstheme="minorEastAsia"/>
                <w:kern w:val="0"/>
                <w:szCs w:val="21"/>
                <w:lang w:bidi="ar"/>
              </w:rPr>
              <w:t>、</w:t>
            </w:r>
            <w:r>
              <w:rPr>
                <w:rFonts w:ascii="宋体" w:hAnsi="宋体" w:cstheme="minorEastAsia"/>
                <w:kern w:val="0"/>
                <w:szCs w:val="21"/>
                <w:lang w:bidi="ar"/>
              </w:rPr>
              <w:t>导师可以通过课堂面授培训指导多名学员。可配对平板电脑进行无线控制。即使没有 Wi-Fi，也可以通过蓝牙连接。</w:t>
            </w:r>
          </w:p>
          <w:p w14:paraId="5099BA2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20、可以小组或者课堂培训：参与者可以实时调整模拟呼吸机参数，可学习掌握的要点：</w:t>
            </w:r>
          </w:p>
          <w:p w14:paraId="3488432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呼吸机参数调节，开展波形分析，使用常用和高级机械通气模式，调整患者生理体征并实时观察其对波形的影响，创建复杂的临床案例，基于常规呼吸机界面开展培训，对自主呼吸患者进行模拟通气，针对高危低频事件开展练习，实时学习压力、气流和容量曲线，管理通气并发症（例如张力性气胸、过敏性反应、支气管痉挛、气管内插管断开、肺栓塞、恶性高烧、局部麻醉毒性、心脏骤停。</w:t>
            </w:r>
          </w:p>
          <w:p w14:paraId="6A847A0B">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七、心脏特征</w:t>
            </w:r>
          </w:p>
          <w:p w14:paraId="774ADA2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1、有≥1000种心电图，生命体征可随心电变化和治疗自动改变。</w:t>
            </w:r>
          </w:p>
          <w:p w14:paraId="0D9FE21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w:t>
            </w:r>
            <w:r>
              <w:rPr>
                <w:rFonts w:hint="eastAsia"/>
              </w:rPr>
              <w:t xml:space="preserve"> </w:t>
            </w:r>
            <w:r>
              <w:rPr>
                <w:rFonts w:hint="eastAsia" w:ascii="宋体" w:hAnsi="宋体" w:cstheme="minorEastAsia"/>
                <w:kern w:val="0"/>
                <w:szCs w:val="21"/>
                <w:lang w:bidi="ar"/>
              </w:rPr>
              <w:t>QRS波形、基础心律及期前收缩可任意调节。</w:t>
            </w:r>
          </w:p>
          <w:p w14:paraId="49B035D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3、可进行心音听诊训练：包括正常心音、主动脉瓣狭窄、Austin Flint杂音、摩擦音、二尖瓣脱垂、收缩期杂音、舒张期杂音、呼吸音消失等。</w:t>
            </w:r>
          </w:p>
          <w:p w14:paraId="080E2B2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4、可进行4导联心电图监护</w:t>
            </w:r>
          </w:p>
          <w:p w14:paraId="229A844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5、12导联心电图：可通过模拟监护仪实时动态显示。</w:t>
            </w:r>
          </w:p>
          <w:p w14:paraId="1CD0B2F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电除颤、电复律和起搏：可用临床使用的除颤器和起搏器进行除颤、复律和起博。除颤效果及起搏域值均可随治疗和情境需要进行设置并自动显示。模拟人在各种处理后相应的症状、体征和监测参数自动出现与病例所设置的病情相一致的变化。</w:t>
            </w:r>
          </w:p>
          <w:p w14:paraId="0D6D8EA9">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八、循环系统特征</w:t>
            </w:r>
          </w:p>
          <w:p w14:paraId="3F06AB5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1、可使用标准血压计和听诊器行血压测量，并支持Korotkoff音听诊。</w:t>
            </w:r>
          </w:p>
          <w:p w14:paraId="7DE7AFB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2、可触诊颈动脉、股动脉、桡动脉的脉搏，并自动与心电图同步。脉搏会随病情的变化以及治疗而变化。可自动感应到触诊脉搏并记录。</w:t>
            </w:r>
          </w:p>
          <w:p w14:paraId="3C4D2FD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3、脉搏强度随血压变化，也可单独调节四肢和躯干中心的脉搏强度。</w:t>
            </w:r>
          </w:p>
          <w:p w14:paraId="7831FB3C">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九、静脉穿刺</w:t>
            </w:r>
          </w:p>
          <w:p w14:paraId="308037B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1、静脉手臂建立静脉通道。</w:t>
            </w:r>
          </w:p>
          <w:p w14:paraId="41E6385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2、骨髓穿刺(胫骨）。</w:t>
            </w:r>
          </w:p>
          <w:p w14:paraId="380BC7F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3、可使用胫骨穿刺针进行胫骨穿刺，模拟胫骨穿刺骨髓腔输液。</w:t>
            </w:r>
          </w:p>
          <w:p w14:paraId="3703BD6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4、可软件中设置体液及血液流失。</w:t>
            </w:r>
          </w:p>
          <w:p w14:paraId="2584F9D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5、可模拟补充晶体液胶体液和（或）血液。</w:t>
            </w:r>
          </w:p>
          <w:p w14:paraId="7972AC5C">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十、CPR功能</w:t>
            </w:r>
          </w:p>
          <w:p w14:paraId="3F4B492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1、CPR符合国家及相关行业指南和标准。</w:t>
            </w:r>
          </w:p>
          <w:p w14:paraId="4641F6D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2、CPR按压自动产生脉搏、血压波形和心电图</w:t>
            </w:r>
          </w:p>
          <w:p w14:paraId="6BA8881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3、真实的按压深度</w:t>
            </w:r>
          </w:p>
          <w:p w14:paraId="3B7A250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4、可即时反馈心肺复苏的质量，包括按压深度、按压频率、按压手位信息、按压回弹是否完全、通气潮气量、通气频率等。图形和文字界面两种方式。</w:t>
            </w:r>
          </w:p>
          <w:p w14:paraId="57EBB12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5、可实时反馈心肺复苏质量 </w:t>
            </w:r>
          </w:p>
          <w:p w14:paraId="07F7C15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6、可显示按压回弹的情况 </w:t>
            </w:r>
          </w:p>
          <w:p w14:paraId="46C10BD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w:t>
            </w:r>
            <w:r>
              <w:rPr>
                <w:rFonts w:ascii="宋体" w:hAnsi="宋体" w:cstheme="minorEastAsia"/>
                <w:kern w:val="0"/>
                <w:szCs w:val="21"/>
                <w:lang w:bidi="ar"/>
              </w:rPr>
              <w:t>7. CPR的结果可以出具独立的分析报告，分析学员CPR的质量，导师可做课后的分析</w:t>
            </w:r>
          </w:p>
          <w:p w14:paraId="76EFD36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w:t>
            </w:r>
            <w:r>
              <w:rPr>
                <w:rFonts w:ascii="宋体" w:hAnsi="宋体" w:cstheme="minorEastAsia"/>
                <w:kern w:val="0"/>
                <w:szCs w:val="21"/>
                <w:lang w:bidi="ar"/>
              </w:rPr>
              <w:t>8. CPR的考核标准可以自行设定，可以适应不同地区不同单位的考核标准</w:t>
            </w:r>
          </w:p>
          <w:p w14:paraId="698EEFC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9.具有AED训练系统</w:t>
            </w:r>
            <w:r>
              <w:rPr>
                <w:rFonts w:ascii="宋体" w:hAnsi="宋体" w:cstheme="minorEastAsia"/>
                <w:kern w:val="0"/>
                <w:szCs w:val="21"/>
                <w:lang w:bidi="ar"/>
              </w:rPr>
              <w:t>。</w:t>
            </w:r>
          </w:p>
          <w:p w14:paraId="2B90ECB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9.1. AED训练系统具有婴儿/儿童钥匙，可以随时在成人模式和儿童/婴儿模式之间切换。</w:t>
            </w:r>
          </w:p>
          <w:p w14:paraId="71D649B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9.2. AED训练系统可以设定CPR所需要的时间长度。</w:t>
            </w:r>
          </w:p>
          <w:p w14:paraId="44D73A3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9.3. AED训练系统可以设定成人“不建议除颤”CPR 的持续时间。</w:t>
            </w:r>
          </w:p>
          <w:p w14:paraId="0FE11B2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9.4. AED训练系统可以设定婴儿/儿童基本 CPR持续时间长度。</w:t>
            </w:r>
          </w:p>
          <w:p w14:paraId="49DAC84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9.5. AED训练系统可以设定儿童“不建议除颤”CPR 的持续时间。</w:t>
            </w:r>
          </w:p>
          <w:p w14:paraId="69435A2F">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十一、神经系统</w:t>
            </w:r>
          </w:p>
          <w:p w14:paraId="57E7B4F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1、眼睛状态可调节，有开、闭和半开三种状态模式</w:t>
            </w:r>
          </w:p>
          <w:p w14:paraId="6F160CD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2、可模拟神经损伤情况下下瞳孔不等大的状态</w:t>
            </w:r>
          </w:p>
          <w:p w14:paraId="3BF6AAC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3、瞳孔：可调节瞳孔直径范围2-8mm及完全散大之间调节，可设置单眼及双眼瞳孔对光反射并可呈现消失、灵敏、迟钝三种状态。</w:t>
            </w:r>
          </w:p>
          <w:p w14:paraId="01019FA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4、眼部异常体征：眼部可设置巩膜黄疸，球结膜下出血，巩膜充血，匙状瞳孔，上睑下垂和白内障等多种异常体征。</w:t>
            </w:r>
          </w:p>
          <w:p w14:paraId="3655C47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5、ICP：可在软件中调节颅内压，并可在模拟监护仪上显示其数值。</w:t>
            </w:r>
          </w:p>
          <w:p w14:paraId="135E24E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6、体温：可在软件中设置体温与血液温度，可在模拟监护仪上显示数值。</w:t>
            </w:r>
          </w:p>
          <w:p w14:paraId="1DBA8EE8">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十二、模拟人操作软件</w:t>
            </w:r>
          </w:p>
          <w:p w14:paraId="19091DB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▲1.操作软件至少支持中文和英文。</w:t>
            </w:r>
          </w:p>
          <w:p w14:paraId="0DC5E19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2.至少要具有2种可选控制模式：导师模式、病例模式。</w:t>
            </w:r>
          </w:p>
          <w:p w14:paraId="7B6CAEE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（1）导师模式：导师可控制模拟人的每个反应。</w:t>
            </w:r>
          </w:p>
          <w:p w14:paraId="137ECB9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（2）病例模式：具有病例编辑平台，操作者可任意开发无限量病例程序，模拟人的所有变化都可预先设计，设计时可选择预置的病人对药物和治疗发生生理和病理反应的模块，时间和过程均可控。</w:t>
            </w:r>
          </w:p>
          <w:p w14:paraId="0254C9C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3.软件具备趋势界面，可显示前后9分钟体征参数随时间变化的曲线，并随着新的治疗操作随时校正曲线，导师可清楚模拟人的体征走向。（投标文件中提供软件截图图片证明资料，并加盖投标人</w:t>
            </w:r>
            <w:r>
              <w:rPr>
                <w:rFonts w:hint="eastAsia" w:ascii="宋体" w:hAnsi="宋体" w:cstheme="minorEastAsia"/>
                <w:kern w:val="0"/>
                <w:szCs w:val="21"/>
                <w:lang w:val="en-US" w:eastAsia="zh-CN" w:bidi="ar"/>
              </w:rPr>
              <w:t>电子签章</w:t>
            </w:r>
            <w:r>
              <w:rPr>
                <w:rFonts w:hint="eastAsia" w:ascii="宋体" w:hAnsi="宋体" w:cstheme="minorEastAsia"/>
                <w:kern w:val="0"/>
                <w:szCs w:val="21"/>
                <w:lang w:bidi="ar"/>
              </w:rPr>
              <w:t>）</w:t>
            </w:r>
          </w:p>
          <w:p w14:paraId="09CCB48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4.正在运行的病例可暂停，快进和保存。</w:t>
            </w:r>
          </w:p>
          <w:p w14:paraId="0D374AF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5.导师可随时在正在运行病例过程中添加评语并保存。</w:t>
            </w:r>
          </w:p>
          <w:p w14:paraId="1D447424">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十三、智能化评估报告系统</w:t>
            </w:r>
          </w:p>
          <w:p w14:paraId="6628420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模拟人操作软件带有录像功能和评估系统功能，不需要额外设备。模拟病人评估系统需包括网络镜头、评估软件及模拟病人。另外系统将学员日志、病人监护仪数据、现场声音与视像结合至1个独立的评估文件里进行运作。</w:t>
            </w:r>
          </w:p>
          <w:p w14:paraId="317ACFC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2、模拟人可以通过自身感应器自动生成日志记录，时间显示上带有秒表功能。  </w:t>
            </w:r>
          </w:p>
          <w:p w14:paraId="4F81E41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3、评估报告内容包括模拟人的生命体征参数、学员操作记录、操作视频录像、监护仪界面回放。评估这些内容时，在时间上能够完全一一对应。  </w:t>
            </w:r>
          </w:p>
          <w:p w14:paraId="4517A47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4、系统要带有视频监控系统，并且能与模拟人控制软件相兼容。</w:t>
            </w:r>
          </w:p>
          <w:p w14:paraId="370E255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5、正在运行的评估报告可快进、倒退和保存。</w:t>
            </w:r>
          </w:p>
          <w:p w14:paraId="34BBD4A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6、独立的评估文件可在电脑系统装有评估报告查看器软件的计算机中打开。</w:t>
            </w:r>
          </w:p>
          <w:p w14:paraId="24D9ADD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7、评估报告支持中文系统</w:t>
            </w:r>
          </w:p>
          <w:p w14:paraId="4DEDBF4E">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十四、急危重症高级生命支持虚拟仿真系统</w:t>
            </w:r>
          </w:p>
          <w:p w14:paraId="34D0FCC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软件提供了一个虚拟而安全的教学环境, 在不损害病人利益的前提下提高学生、实习生等的临床反应能力和各项临床操作能力, 从而减少临床实践中的医疗事故和纠纷。</w:t>
            </w:r>
          </w:p>
          <w:p w14:paraId="507D8E1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功能要求</w:t>
            </w:r>
          </w:p>
          <w:p w14:paraId="7BC20776">
            <w:pPr>
              <w:widowControl/>
              <w:jc w:val="left"/>
              <w:rPr>
                <w:rFonts w:hint="eastAsia" w:ascii="宋体" w:hAnsi="宋体" w:cstheme="minorEastAsia"/>
                <w:kern w:val="0"/>
                <w:szCs w:val="21"/>
                <w:lang w:bidi="ar"/>
              </w:rPr>
            </w:pPr>
            <w:r>
              <w:rPr>
                <w:rFonts w:ascii="宋体" w:hAnsi="宋体" w:cstheme="minorEastAsia"/>
                <w:kern w:val="0"/>
                <w:szCs w:val="21"/>
                <w:lang w:bidi="ar"/>
              </w:rPr>
              <w:t>2.1系统通过账号密码登录即可使用。</w:t>
            </w:r>
          </w:p>
          <w:p w14:paraId="5DA52FA7">
            <w:pPr>
              <w:widowControl/>
              <w:jc w:val="left"/>
              <w:rPr>
                <w:rFonts w:hint="eastAsia" w:ascii="宋体" w:hAnsi="宋体" w:cstheme="minorEastAsia"/>
                <w:kern w:val="0"/>
                <w:szCs w:val="21"/>
                <w:lang w:bidi="ar"/>
              </w:rPr>
            </w:pPr>
            <w:r>
              <w:rPr>
                <w:rFonts w:ascii="宋体" w:hAnsi="宋体" w:cstheme="minorEastAsia"/>
                <w:kern w:val="0"/>
                <w:szCs w:val="21"/>
                <w:lang w:bidi="ar"/>
              </w:rPr>
              <w:t>2.2至少包含3</w:t>
            </w:r>
            <w:r>
              <w:rPr>
                <w:rFonts w:hint="eastAsia" w:ascii="宋体" w:hAnsi="宋体" w:cstheme="minorEastAsia"/>
                <w:kern w:val="0"/>
                <w:szCs w:val="21"/>
                <w:lang w:bidi="ar"/>
              </w:rPr>
              <w:t>0</w:t>
            </w:r>
            <w:r>
              <w:rPr>
                <w:rFonts w:ascii="宋体" w:hAnsi="宋体" w:cstheme="minorEastAsia"/>
                <w:kern w:val="0"/>
                <w:szCs w:val="21"/>
                <w:lang w:bidi="ar"/>
              </w:rPr>
              <w:t>例基于真实临床数据和高可信度的虚拟病人，病例根据临床症状系统分为六大系统，包括：气道与呼吸/心律失常/心脏停搏/胸痛/中毒和服药过量/代谢和环境造成的急诊，每个系统至少包含难易度不一样病例5个。</w:t>
            </w:r>
          </w:p>
          <w:p w14:paraId="25220830">
            <w:pPr>
              <w:widowControl/>
              <w:jc w:val="left"/>
              <w:rPr>
                <w:rFonts w:hint="eastAsia" w:ascii="宋体" w:hAnsi="宋体" w:cstheme="minorEastAsia"/>
                <w:kern w:val="0"/>
                <w:szCs w:val="21"/>
                <w:lang w:bidi="ar"/>
              </w:rPr>
            </w:pPr>
            <w:r>
              <w:rPr>
                <w:rFonts w:ascii="宋体" w:hAnsi="宋体" w:cstheme="minorEastAsia"/>
                <w:kern w:val="0"/>
                <w:szCs w:val="21"/>
                <w:lang w:bidi="ar"/>
              </w:rPr>
              <w:t>2.3病例是依据真实的病例资料所转换，场景根据医院急诊抢救室的布置3D立体搭建，最大程度的还原真实抢救场景，场景可以随着鼠标进行视角转动，可以从不同角色视角进行整个环境进行观察。</w:t>
            </w:r>
          </w:p>
          <w:p w14:paraId="25A0F035">
            <w:pPr>
              <w:widowControl/>
              <w:jc w:val="left"/>
              <w:rPr>
                <w:rFonts w:hint="eastAsia" w:ascii="宋体" w:hAnsi="宋体" w:cstheme="minorEastAsia"/>
                <w:kern w:val="0"/>
                <w:szCs w:val="21"/>
                <w:lang w:bidi="ar"/>
              </w:rPr>
            </w:pPr>
            <w:r>
              <w:rPr>
                <w:rFonts w:ascii="宋体" w:hAnsi="宋体" w:cstheme="minorEastAsia"/>
                <w:kern w:val="0"/>
                <w:szCs w:val="21"/>
                <w:lang w:bidi="ar"/>
              </w:rPr>
              <w:t>2.4系统病例显示每次操作后的成绩，病例可以无限重复，每个病例都有病史可以查询，每次操作都会被系统记录，可以系统可以显示每次操作对应的时间节点，方便进行回顾性总结和纠错。</w:t>
            </w:r>
          </w:p>
          <w:p w14:paraId="2A2BE1C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3、功能模块:</w:t>
            </w:r>
          </w:p>
          <w:p w14:paraId="7081051A">
            <w:pPr>
              <w:widowControl/>
              <w:jc w:val="left"/>
              <w:rPr>
                <w:rFonts w:hint="eastAsia" w:ascii="宋体" w:hAnsi="宋体" w:cstheme="minorEastAsia"/>
                <w:kern w:val="0"/>
                <w:szCs w:val="21"/>
                <w:lang w:bidi="ar"/>
              </w:rPr>
            </w:pPr>
            <w:r>
              <w:rPr>
                <w:rFonts w:hint="eastAsia" w:ascii="Segoe UI Symbol" w:hAnsi="Segoe UI Symbol" w:cs="Segoe UI Symbol"/>
                <w:kern w:val="0"/>
                <w:szCs w:val="21"/>
                <w:lang w:bidi="ar"/>
              </w:rPr>
              <w:t xml:space="preserve">3.1. </w:t>
            </w:r>
            <w:r>
              <w:rPr>
                <w:rFonts w:ascii="宋体" w:hAnsi="宋体" w:cstheme="minorEastAsia"/>
                <w:kern w:val="0"/>
                <w:szCs w:val="21"/>
                <w:lang w:bidi="ar"/>
              </w:rPr>
              <w:t>问诊功能：让学生从临床常用分类的项目中选取问题、询问病患、并从病患的回答中得到对病患初步的病症的资料，该系统采取了智能语音问答系统，可以点击不同的问题，虚拟病人进行语音回答，每个病例都是针对该病例设置的问题至少有15个提问问题，可以更好锻炼学员的问诊能力，让操作环境更加接近真实，以作进一步检验的依据。</w:t>
            </w:r>
          </w:p>
          <w:p w14:paraId="20AD9BA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3.2 监护装置菜单功能：学员可以根据患者具体情况，根据临床真实情况至少可以有6种监护转置，包括心电图监护，心电图诊断，无创血压监测，血氧饱和度监测，二氧化碳监测，体温监测，所做的每个监护动作，都可以在虚拟病人体现，让操作员具有沉浸式体验。</w:t>
            </w:r>
          </w:p>
          <w:p w14:paraId="3F39FE9C">
            <w:pPr>
              <w:widowControl/>
              <w:jc w:val="left"/>
              <w:rPr>
                <w:rFonts w:hint="eastAsia" w:ascii="宋体" w:hAnsi="宋体" w:cstheme="minorEastAsia"/>
                <w:kern w:val="0"/>
                <w:szCs w:val="21"/>
                <w:lang w:bidi="ar"/>
              </w:rPr>
            </w:pPr>
            <w:r>
              <w:rPr>
                <w:rFonts w:hint="eastAsia" w:ascii="Segoe UI Symbol" w:hAnsi="Segoe UI Symbol" w:cs="Segoe UI Symbol"/>
                <w:kern w:val="0"/>
                <w:szCs w:val="21"/>
                <w:lang w:bidi="ar"/>
              </w:rPr>
              <w:t xml:space="preserve">3.3.  </w:t>
            </w:r>
            <w:r>
              <w:rPr>
                <w:rFonts w:ascii="宋体" w:hAnsi="宋体" w:cstheme="minorEastAsia"/>
                <w:kern w:val="0"/>
                <w:szCs w:val="21"/>
                <w:lang w:bidi="ar"/>
              </w:rPr>
              <w:t>具有药物治疗模块,可以模拟用药，药物包含不少于18个类目，100个以上品种。</w:t>
            </w:r>
          </w:p>
          <w:p w14:paraId="2EE97A7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3.4 气道管理功能，可以选择不同气道治疗手段，包括气管切开，气管内插管等13种关于气道管理临床技术，每种技术的选择都是根据病人病情需要，系统可以自动判读选择技能是否符合病人真实需求并做出评分。</w:t>
            </w:r>
          </w:p>
          <w:p w14:paraId="4E0B1DB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3.5 呼吸支持功能治疗模块，可以从系统上选择经鼻给氧、氧气面罩给氧等符合临床需求的操作，系统可以自动记录并做出评估结果。</w:t>
            </w:r>
          </w:p>
          <w:p w14:paraId="1B80A99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3.6</w:t>
            </w:r>
            <w:r>
              <w:rPr>
                <w:rFonts w:hint="eastAsia" w:ascii="Segoe UI Symbol" w:hAnsi="Segoe UI Symbol" w:cs="Segoe UI Symbol"/>
                <w:kern w:val="0"/>
                <w:szCs w:val="21"/>
                <w:lang w:bidi="ar"/>
              </w:rPr>
              <w:t xml:space="preserve">  </w:t>
            </w:r>
            <w:r>
              <w:rPr>
                <w:rFonts w:ascii="宋体" w:hAnsi="宋体" w:cstheme="minorEastAsia"/>
                <w:kern w:val="0"/>
                <w:szCs w:val="21"/>
                <w:lang w:bidi="ar"/>
              </w:rPr>
              <w:t>带有自动临床思维能力评估系统。带有学生各层次的诊断能力、检查和处置能力自动评估子系统。系统可反馈给使用者的全部操作过程中的各步骤详细表现情况。</w:t>
            </w:r>
          </w:p>
          <w:p w14:paraId="31F6B5BC">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十五、护理临床思维训练系统</w:t>
            </w:r>
          </w:p>
          <w:p w14:paraId="60A6C9C2">
            <w:pPr>
              <w:widowControl/>
              <w:jc w:val="left"/>
              <w:rPr>
                <w:rFonts w:hint="eastAsia" w:ascii="宋体" w:hAnsi="宋体" w:cstheme="minorEastAsia"/>
                <w:kern w:val="0"/>
                <w:szCs w:val="21"/>
                <w:lang w:bidi="ar"/>
              </w:rPr>
            </w:pPr>
            <w:r>
              <w:rPr>
                <w:rFonts w:ascii="宋体" w:hAnsi="宋体" w:cstheme="minorEastAsia"/>
                <w:kern w:val="0"/>
                <w:szCs w:val="21"/>
                <w:lang w:bidi="ar"/>
              </w:rPr>
              <w:t>1.案例来源真实病人，医疗情景、诊疗流程高度仿真、护患交流对白、病人及环境音效均为高仿真实景录制，病房气氛逼真，提供给学生沉浸式的病房环境，给予学生一定程度心理压力，对学生的抗压能力进行很好的锻炼。</w:t>
            </w:r>
          </w:p>
          <w:p w14:paraId="7996F6D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案例设计基本界面为统一的模块化设计，学生只需熟悉一个虚拟案例操作后即可无障碍的进行全部案例的自主学习。同时，案例充分考虑到各类疾病的不同需求，为其个性化丰富的护理干预模块（如分娩、精神评估、家庭指导等）。</w:t>
            </w:r>
          </w:p>
          <w:p w14:paraId="2F893887">
            <w:pPr>
              <w:widowControl/>
              <w:jc w:val="left"/>
              <w:rPr>
                <w:rFonts w:hint="eastAsia" w:ascii="宋体" w:hAnsi="宋体" w:cstheme="minorEastAsia"/>
                <w:kern w:val="0"/>
                <w:szCs w:val="21"/>
                <w:lang w:bidi="ar"/>
              </w:rPr>
            </w:pPr>
            <w:r>
              <w:rPr>
                <w:rFonts w:ascii="宋体" w:hAnsi="宋体" w:cstheme="minorEastAsia"/>
                <w:kern w:val="0"/>
                <w:szCs w:val="21"/>
                <w:lang w:bidi="ar"/>
              </w:rPr>
              <w:t>3.案例基于虚拟生理数字引擎驱动，病人的各类生理指标、疾病发展进程转归、药物作用反应、各类护理操作反馈、实验室检查结果都准确模拟了真实病人。案例采用网络自主学习的主要教学方式，并对虚拟案例处理流程中的每个操作都提供反馈和评价，学生可以通过反馈和反复练习进行提高。</w:t>
            </w:r>
          </w:p>
          <w:p w14:paraId="3E4A6E62">
            <w:pPr>
              <w:widowControl/>
              <w:jc w:val="left"/>
              <w:rPr>
                <w:rFonts w:hint="eastAsia" w:ascii="宋体" w:hAnsi="宋体" w:cstheme="minorEastAsia"/>
                <w:kern w:val="0"/>
                <w:szCs w:val="21"/>
                <w:lang w:bidi="ar"/>
              </w:rPr>
            </w:pPr>
            <w:r>
              <w:rPr>
                <w:rFonts w:ascii="宋体" w:hAnsi="宋体" w:cstheme="minorEastAsia"/>
                <w:kern w:val="0"/>
                <w:szCs w:val="21"/>
                <w:lang w:bidi="ar"/>
              </w:rPr>
              <w:t>4.案例基于浏览器+国内云端服务器架构，方便学生远程学习和资源共享,并且确保用户信息安全。</w:t>
            </w:r>
          </w:p>
          <w:p w14:paraId="48796930">
            <w:pPr>
              <w:widowControl/>
              <w:jc w:val="left"/>
              <w:rPr>
                <w:rFonts w:hint="eastAsia" w:ascii="宋体" w:hAnsi="宋体" w:cstheme="minorEastAsia"/>
                <w:kern w:val="0"/>
                <w:szCs w:val="21"/>
                <w:lang w:bidi="ar"/>
              </w:rPr>
            </w:pPr>
            <w:r>
              <w:rPr>
                <w:rFonts w:ascii="宋体" w:hAnsi="宋体" w:cstheme="minorEastAsia"/>
                <w:kern w:val="0"/>
                <w:szCs w:val="21"/>
                <w:lang w:bidi="ar"/>
              </w:rPr>
              <w:t>5中文内外科课程:不少于9个具有代表性的内外科护理病例；病例素材，展现以病人为中心的交互性临床情境，体验完整护理程序，理解整体化护理理念。</w:t>
            </w:r>
          </w:p>
          <w:p w14:paraId="74C52A21">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十六、模拟教学案例云平台系统</w:t>
            </w:r>
          </w:p>
          <w:p w14:paraId="4AEE3012">
            <w:pPr>
              <w:widowControl/>
              <w:jc w:val="left"/>
              <w:rPr>
                <w:rFonts w:hint="eastAsia" w:ascii="宋体" w:hAnsi="宋体" w:cstheme="minorEastAsia"/>
                <w:kern w:val="0"/>
                <w:szCs w:val="21"/>
                <w:lang w:bidi="ar"/>
              </w:rPr>
            </w:pPr>
            <w:r>
              <w:rPr>
                <w:rFonts w:ascii="宋体" w:hAnsi="宋体" w:cstheme="minorEastAsia"/>
                <w:kern w:val="0"/>
                <w:szCs w:val="21"/>
                <w:lang w:bidi="ar"/>
              </w:rPr>
              <w:t>1.标配模拟教学案例云平台系统，允许模拟人的用户自由下载所有模拟教学案例，案例总数量需要≥500个。</w:t>
            </w:r>
          </w:p>
          <w:p w14:paraId="2EB6F496">
            <w:pPr>
              <w:widowControl/>
              <w:jc w:val="left"/>
              <w:rPr>
                <w:rFonts w:hint="eastAsia" w:ascii="宋体" w:hAnsi="宋体" w:cstheme="minorEastAsia"/>
                <w:kern w:val="0"/>
                <w:szCs w:val="21"/>
                <w:lang w:bidi="ar"/>
              </w:rPr>
            </w:pPr>
            <w:r>
              <w:rPr>
                <w:rFonts w:ascii="宋体" w:hAnsi="宋体" w:cstheme="minorEastAsia"/>
                <w:kern w:val="0"/>
                <w:szCs w:val="21"/>
                <w:lang w:bidi="ar"/>
              </w:rPr>
              <w:t>2.模拟教学案例云平台系统包含的案例由美国心脏协会或欧洲复苏委员会或中国心肺复苏培训中心等同层次权威学术机构所编写，编写的模拟案例，具有合法版权，以帮助用户使用模拟人开展如高级生命支持专科培训课程。</w:t>
            </w:r>
          </w:p>
          <w:p w14:paraId="3BD1F45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模拟教学案例云平台系统案例应具有模拟教案以协助用户开课使用，教案资料需要符合模拟教学的教育理念，至少包含案例概况、教学目标、教学对象、案例运行时间、复盘时间、物品准备清单、教学场景设置、病例运行的学员导言、病人信息概览、预期的正确操作、引导性反馈问题等。</w:t>
            </w:r>
          </w:p>
          <w:p w14:paraId="00984D6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4.用于考核的模拟案例应包含具有经过循证的评估表，包括团队合作评估量表、ACLS课程考核表等。</w:t>
            </w:r>
          </w:p>
          <w:p w14:paraId="6DDE5C68">
            <w:pPr>
              <w:widowControl/>
              <w:jc w:val="left"/>
              <w:rPr>
                <w:rFonts w:hint="eastAsia" w:ascii="宋体" w:hAnsi="宋体" w:cstheme="minorEastAsia"/>
                <w:kern w:val="0"/>
                <w:szCs w:val="21"/>
                <w:lang w:bidi="ar"/>
              </w:rPr>
            </w:pPr>
            <w:r>
              <w:rPr>
                <w:rFonts w:ascii="宋体" w:hAnsi="宋体" w:cstheme="minorEastAsia"/>
                <w:kern w:val="0"/>
                <w:szCs w:val="21"/>
                <w:lang w:bidi="ar"/>
              </w:rPr>
              <w:t>5.所有模拟案例可安装于任意一台模拟人电脑中，仅需导师登陆自己的账号并在软件中打开即可，可供导师在任意的地方、任意的时间进行案例预习或试运行。</w:t>
            </w:r>
          </w:p>
          <w:p w14:paraId="068BE28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6、系统至少带有ACLS 高级生命支持病例1套，内容要求以下高级生命支持（ACLS）课程常见内容如下：</w:t>
            </w:r>
          </w:p>
          <w:p w14:paraId="3F7DB42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呼吸骤停</w:t>
            </w:r>
          </w:p>
          <w:p w14:paraId="5474F99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AED：单次电击</w:t>
            </w:r>
          </w:p>
          <w:p w14:paraId="2698AD6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AED：电击两次</w:t>
            </w:r>
          </w:p>
          <w:p w14:paraId="4A4189E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VF -1</w:t>
            </w:r>
          </w:p>
          <w:p w14:paraId="4F537CC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VF -2</w:t>
            </w:r>
          </w:p>
          <w:p w14:paraId="50E73B7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VF -3</w:t>
            </w:r>
          </w:p>
          <w:p w14:paraId="51E1BF5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VF -4</w:t>
            </w:r>
          </w:p>
          <w:p w14:paraId="5C7553E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VF -5</w:t>
            </w:r>
          </w:p>
          <w:p w14:paraId="1C2097B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PEA-1</w:t>
            </w:r>
          </w:p>
          <w:p w14:paraId="2969164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PEA-2</w:t>
            </w:r>
          </w:p>
          <w:p w14:paraId="3F898B7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PEA-3</w:t>
            </w:r>
          </w:p>
          <w:p w14:paraId="1AB8725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心脏停搏--1</w:t>
            </w:r>
          </w:p>
          <w:p w14:paraId="3106E46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心脏停搏---2</w:t>
            </w:r>
          </w:p>
          <w:p w14:paraId="7074D56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心脏停搏-3</w:t>
            </w:r>
          </w:p>
          <w:p w14:paraId="4D2B9AA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心动过缓：使用阿托品</w:t>
            </w:r>
          </w:p>
          <w:p w14:paraId="1CD992A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心动过缓：使用阿托品、起搏， 多巴胺或肾上腺素</w:t>
            </w:r>
          </w:p>
          <w:p w14:paraId="61DACB4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心动过缓：用阿托平、起搏、多巴胺或肾上腺素治疗及心脏移植</w:t>
            </w:r>
          </w:p>
          <w:p w14:paraId="21B65E9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稳定的窄复合心动过速</w:t>
            </w:r>
          </w:p>
          <w:p w14:paraId="6C58300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稳定的宽复合心动过速</w:t>
            </w:r>
          </w:p>
          <w:p w14:paraId="0E3786F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不稳定的窄复合心动过速</w:t>
            </w:r>
          </w:p>
          <w:p w14:paraId="03406B8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不稳定的宽复合心动过速</w:t>
            </w:r>
          </w:p>
          <w:p w14:paraId="596AA2D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心跳骤停复苏后治疗</w:t>
            </w:r>
          </w:p>
          <w:p w14:paraId="6AF5E8C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起搏</w:t>
            </w:r>
          </w:p>
          <w:p w14:paraId="76F0D10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单次电击：无脉型室速</w:t>
            </w:r>
          </w:p>
          <w:p w14:paraId="0F8F90D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单次电击VF</w:t>
            </w:r>
          </w:p>
          <w:p w14:paraId="11B49B3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不稳定的窄复合心动过速 （重新进入 Svt）</w:t>
            </w:r>
          </w:p>
          <w:p w14:paraId="58B26FC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不稳定的广宽复杂心动过速 （VT）</w:t>
            </w:r>
          </w:p>
          <w:p w14:paraId="5077225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ACLS 场景：</w:t>
            </w:r>
          </w:p>
          <w:p w14:paraId="056D903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 场景 1/3/8 心动过缓 &gt;pvt • PEA &gt;PCAC</w:t>
            </w:r>
          </w:p>
          <w:p w14:paraId="5743612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 场景 2 / 5心动过缓  &gt;Vf &gt;停搏&gt; Pcac</w:t>
            </w:r>
          </w:p>
          <w:p w14:paraId="4EF4069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测试案例：场景 4/7/10  心动过速&gt;VF &gt; PEA &gt; PCAC</w:t>
            </w:r>
          </w:p>
          <w:p w14:paraId="02ACAEE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 场景 6/ 11 心动过缓&gt; Vf &gt; Pcac</w:t>
            </w:r>
          </w:p>
          <w:p w14:paraId="35BDF58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测试案例：场景9心动过速&gt;PEA&gt;VF&gt;PCAC</w:t>
            </w:r>
          </w:p>
          <w:p w14:paraId="53805B2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测试案例： 场景 12 心动过缓&gt; Vf&gt; 停搏/PEA&gt; Pcac</w:t>
            </w:r>
          </w:p>
          <w:p w14:paraId="7E362A0E">
            <w:pPr>
              <w:widowControl/>
              <w:jc w:val="left"/>
              <w:rPr>
                <w:rFonts w:hint="eastAsia" w:ascii="宋体" w:hAnsi="宋体" w:cstheme="minorEastAsia"/>
                <w:b/>
                <w:bCs/>
                <w:kern w:val="0"/>
                <w:szCs w:val="21"/>
                <w:lang w:bidi="ar"/>
              </w:rPr>
            </w:pPr>
            <w:r>
              <w:rPr>
                <w:rFonts w:hint="eastAsia" w:ascii="宋体" w:hAnsi="宋体" w:cstheme="minorEastAsia"/>
                <w:b/>
                <w:bCs/>
                <w:kern w:val="0"/>
                <w:szCs w:val="21"/>
                <w:lang w:bidi="ar"/>
              </w:rPr>
              <w:t>十七、病例编辑系统</w:t>
            </w:r>
          </w:p>
          <w:p w14:paraId="7EF84614">
            <w:pPr>
              <w:widowControl/>
              <w:jc w:val="left"/>
              <w:rPr>
                <w:rFonts w:hint="eastAsia" w:ascii="宋体" w:hAnsi="宋体" w:cstheme="minorEastAsia"/>
                <w:kern w:val="0"/>
                <w:szCs w:val="21"/>
                <w:lang w:bidi="ar"/>
              </w:rPr>
            </w:pPr>
            <w:r>
              <w:rPr>
                <w:rFonts w:ascii="Segoe UI Symbol" w:hAnsi="Segoe UI Symbol" w:cs="Segoe UI Symbol"/>
                <w:kern w:val="0"/>
                <w:szCs w:val="21"/>
                <w:lang w:bidi="ar"/>
              </w:rPr>
              <w:t>▲</w:t>
            </w:r>
            <w:r>
              <w:rPr>
                <w:rFonts w:ascii="宋体" w:hAnsi="宋体" w:cstheme="minorEastAsia"/>
                <w:kern w:val="0"/>
                <w:szCs w:val="21"/>
                <w:lang w:bidi="ar"/>
              </w:rPr>
              <w:t>1.病例系统支持编写生理驱动自动病例，模拟人运行病例之后，可以根据学员的操作自动做出对应的生理反应。</w:t>
            </w:r>
          </w:p>
          <w:p w14:paraId="15A57C2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2.全中文的病例编辑系统</w:t>
            </w:r>
          </w:p>
          <w:p w14:paraId="0898CCFF">
            <w:pPr>
              <w:widowControl/>
              <w:jc w:val="left"/>
              <w:rPr>
                <w:rFonts w:hint="eastAsia" w:ascii="宋体" w:hAnsi="宋体" w:cstheme="minorEastAsia"/>
                <w:kern w:val="0"/>
                <w:szCs w:val="21"/>
                <w:lang w:bidi="ar"/>
              </w:rPr>
            </w:pPr>
            <w:r>
              <w:rPr>
                <w:rFonts w:ascii="Segoe UI Symbol" w:hAnsi="Segoe UI Symbol" w:cs="Segoe UI Symbol"/>
                <w:kern w:val="0"/>
                <w:szCs w:val="21"/>
                <w:lang w:bidi="ar"/>
              </w:rPr>
              <w:t>▲</w:t>
            </w:r>
            <w:r>
              <w:rPr>
                <w:rFonts w:ascii="宋体" w:hAnsi="宋体" w:cstheme="minorEastAsia"/>
                <w:kern w:val="0"/>
                <w:szCs w:val="21"/>
                <w:lang w:bidi="ar"/>
              </w:rPr>
              <w:t>3.独立的病例编辑系统，可以支持用户选择使用模拟人跟配的电脑或者自己的电脑中编写病例，不需要使用模拟人跟配的电脑。</w:t>
            </w:r>
          </w:p>
          <w:p w14:paraId="68FD0A88">
            <w:pPr>
              <w:widowControl/>
              <w:jc w:val="left"/>
              <w:rPr>
                <w:rFonts w:hint="eastAsia" w:ascii="宋体" w:hAnsi="宋体" w:cstheme="minorEastAsia"/>
                <w:kern w:val="0"/>
                <w:szCs w:val="21"/>
                <w:lang w:bidi="ar"/>
              </w:rPr>
            </w:pPr>
            <w:r>
              <w:rPr>
                <w:rFonts w:ascii="Segoe UI Symbol" w:hAnsi="Segoe UI Symbol" w:cs="Segoe UI Symbol"/>
                <w:kern w:val="0"/>
                <w:szCs w:val="21"/>
                <w:lang w:bidi="ar"/>
              </w:rPr>
              <w:t>▲</w:t>
            </w:r>
            <w:r>
              <w:rPr>
                <w:rFonts w:ascii="宋体" w:hAnsi="宋体" w:cstheme="minorEastAsia"/>
                <w:kern w:val="0"/>
                <w:szCs w:val="21"/>
                <w:lang w:bidi="ar"/>
              </w:rPr>
              <w:t>4.病例编辑系统支持监护仪的修改，可以修改监护仪的版面和参数格式</w:t>
            </w:r>
          </w:p>
          <w:p w14:paraId="4E89F09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5.病例编辑系统支持主题模式编写，可以设定半自动的病例，方便较简单病例的实施。</w:t>
            </w:r>
          </w:p>
          <w:p w14:paraId="1CDF2A32">
            <w:pPr>
              <w:widowControl/>
              <w:jc w:val="left"/>
              <w:rPr>
                <w:rFonts w:hint="eastAsia" w:ascii="宋体" w:hAnsi="宋体"/>
                <w:kern w:val="0"/>
                <w:szCs w:val="21"/>
              </w:rPr>
            </w:pPr>
            <w:r>
              <w:rPr>
                <w:rFonts w:ascii="Segoe UI Symbol" w:hAnsi="Segoe UI Symbol" w:cs="Segoe UI Symbol"/>
                <w:kern w:val="0"/>
                <w:szCs w:val="21"/>
                <w:lang w:bidi="ar"/>
              </w:rPr>
              <w:t>▲</w:t>
            </w:r>
            <w:r>
              <w:rPr>
                <w:rFonts w:ascii="宋体" w:hAnsi="宋体" w:cstheme="minorEastAsia"/>
                <w:kern w:val="0"/>
                <w:szCs w:val="21"/>
                <w:lang w:bidi="ar"/>
              </w:rPr>
              <w:t>6.系统支持添加导师指导信息，可以在模拟人运行病例的过程中，显示提示信息，提示导师关于病例运行的信息。</w:t>
            </w:r>
          </w:p>
        </w:tc>
      </w:tr>
      <w:tr w14:paraId="6405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4" w:hRule="atLeast"/>
        </w:trPr>
        <w:tc>
          <w:tcPr>
            <w:tcW w:w="426" w:type="dxa"/>
            <w:tcBorders>
              <w:top w:val="single" w:color="auto" w:sz="4" w:space="0"/>
            </w:tcBorders>
            <w:vAlign w:val="center"/>
          </w:tcPr>
          <w:p w14:paraId="358D9A2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w:t>
            </w:r>
          </w:p>
        </w:tc>
        <w:tc>
          <w:tcPr>
            <w:tcW w:w="966" w:type="dxa"/>
            <w:tcBorders>
              <w:top w:val="single" w:color="auto" w:sz="4" w:space="0"/>
              <w:left w:val="single" w:color="auto" w:sz="4" w:space="0"/>
              <w:bottom w:val="single" w:color="000000" w:sz="4" w:space="0"/>
              <w:right w:val="single" w:color="auto" w:sz="4" w:space="0"/>
            </w:tcBorders>
            <w:shd w:val="clear" w:color="auto" w:fill="auto"/>
            <w:vAlign w:val="center"/>
          </w:tcPr>
          <w:p w14:paraId="145F5556">
            <w:pPr>
              <w:widowControl/>
              <w:jc w:val="left"/>
              <w:rPr>
                <w:rFonts w:hint="eastAsia" w:ascii="宋体" w:hAnsi="宋体" w:cstheme="minorEastAsia"/>
                <w:kern w:val="0"/>
                <w:szCs w:val="21"/>
                <w:lang w:bidi="ar"/>
              </w:rPr>
            </w:pPr>
            <w:r>
              <w:rPr>
                <w:rFonts w:hint="eastAsia" w:ascii="宋体" w:hAnsi="宋体" w:cs="宋体"/>
                <w:kern w:val="0"/>
                <w:szCs w:val="21"/>
              </w:rPr>
              <w:t>成人心肺复苏模型</w:t>
            </w:r>
          </w:p>
        </w:tc>
        <w:tc>
          <w:tcPr>
            <w:tcW w:w="566" w:type="dxa"/>
            <w:tcBorders>
              <w:top w:val="single" w:color="auto" w:sz="4" w:space="0"/>
              <w:left w:val="single" w:color="auto" w:sz="4" w:space="0"/>
              <w:bottom w:val="single" w:color="000000" w:sz="4" w:space="0"/>
              <w:right w:val="single" w:color="auto" w:sz="4" w:space="0"/>
            </w:tcBorders>
            <w:shd w:val="clear" w:color="auto" w:fill="auto"/>
            <w:vAlign w:val="center"/>
          </w:tcPr>
          <w:p w14:paraId="28597A31">
            <w:pPr>
              <w:widowControl/>
              <w:jc w:val="left"/>
              <w:rPr>
                <w:rFonts w:hint="eastAsia" w:ascii="宋体" w:hAnsi="宋体" w:cstheme="minorEastAsia"/>
                <w:kern w:val="0"/>
                <w:szCs w:val="21"/>
                <w:lang w:bidi="ar"/>
              </w:rPr>
            </w:pPr>
            <w:r>
              <w:rPr>
                <w:rFonts w:ascii="宋体" w:hAnsi="宋体" w:cs="Calibri"/>
                <w:kern w:val="0"/>
                <w:szCs w:val="21"/>
              </w:rPr>
              <w:t>6</w:t>
            </w:r>
            <w:r>
              <w:rPr>
                <w:rFonts w:hint="eastAsia" w:ascii="宋体" w:hAnsi="宋体" w:cs="Calibri"/>
                <w:kern w:val="0"/>
                <w:szCs w:val="21"/>
              </w:rPr>
              <w:t>套</w:t>
            </w:r>
          </w:p>
        </w:tc>
        <w:tc>
          <w:tcPr>
            <w:tcW w:w="7375" w:type="dxa"/>
            <w:gridSpan w:val="2"/>
            <w:tcBorders>
              <w:top w:val="single" w:color="auto" w:sz="4" w:space="0"/>
              <w:left w:val="nil"/>
              <w:bottom w:val="single" w:color="auto" w:sz="4" w:space="0"/>
              <w:right w:val="single" w:color="auto" w:sz="4" w:space="0"/>
            </w:tcBorders>
            <w:shd w:val="clear" w:color="auto" w:fill="auto"/>
            <w:vAlign w:val="center"/>
          </w:tcPr>
          <w:p w14:paraId="0BB17B40">
            <w:pPr>
              <w:widowControl/>
              <w:jc w:val="left"/>
              <w:textAlignment w:val="center"/>
              <w:rPr>
                <w:rFonts w:hint="eastAsia" w:ascii="宋体" w:hAnsi="宋体"/>
                <w:kern w:val="0"/>
                <w:szCs w:val="21"/>
              </w:rPr>
            </w:pPr>
            <w:r>
              <w:rPr>
                <w:rFonts w:hint="eastAsia" w:ascii="宋体" w:hAnsi="宋体"/>
                <w:kern w:val="0"/>
                <w:szCs w:val="21"/>
              </w:rPr>
              <w:t>1. 优硅胶材质模型。</w:t>
            </w:r>
          </w:p>
          <w:p w14:paraId="32D20ABC">
            <w:pPr>
              <w:widowControl/>
              <w:jc w:val="left"/>
              <w:textAlignment w:val="center"/>
              <w:rPr>
                <w:rFonts w:hint="eastAsia" w:ascii="宋体" w:hAnsi="宋体"/>
                <w:kern w:val="0"/>
                <w:szCs w:val="21"/>
              </w:rPr>
            </w:pPr>
            <w:r>
              <w:rPr>
                <w:rFonts w:hint="eastAsia" w:ascii="宋体" w:hAnsi="宋体"/>
                <w:kern w:val="0"/>
                <w:szCs w:val="21"/>
              </w:rPr>
              <w:t>2. 模拟成年人上半身躯干，穿着拉链外套，无手臂。</w:t>
            </w:r>
          </w:p>
          <w:p w14:paraId="3EF2A8E3">
            <w:pPr>
              <w:widowControl/>
              <w:jc w:val="left"/>
              <w:textAlignment w:val="center"/>
              <w:rPr>
                <w:rFonts w:hint="eastAsia" w:ascii="宋体" w:hAnsi="宋体"/>
                <w:kern w:val="0"/>
                <w:szCs w:val="21"/>
              </w:rPr>
            </w:pPr>
            <w:r>
              <w:rPr>
                <w:rFonts w:hint="eastAsia" w:ascii="宋体" w:hAnsi="宋体"/>
                <w:kern w:val="0"/>
                <w:szCs w:val="21"/>
              </w:rPr>
              <w:t>3. 符合AHA和ERC最新的CPR标准。</w:t>
            </w:r>
          </w:p>
          <w:p w14:paraId="7E45D717">
            <w:pPr>
              <w:widowControl/>
              <w:jc w:val="left"/>
              <w:textAlignment w:val="center"/>
              <w:rPr>
                <w:rFonts w:hint="eastAsia" w:ascii="宋体" w:hAnsi="宋体"/>
                <w:kern w:val="0"/>
                <w:szCs w:val="21"/>
              </w:rPr>
            </w:pPr>
            <w:r>
              <w:rPr>
                <w:rFonts w:hint="eastAsia" w:ascii="宋体" w:hAnsi="宋体"/>
                <w:kern w:val="0"/>
                <w:szCs w:val="21"/>
              </w:rPr>
              <w:t>4. 体表具有重要的解剖学标记，包括肋缘、胸骨和剑突。</w:t>
            </w:r>
          </w:p>
          <w:p w14:paraId="58598A43">
            <w:pPr>
              <w:widowControl/>
              <w:jc w:val="left"/>
              <w:textAlignment w:val="center"/>
              <w:rPr>
                <w:rFonts w:hint="eastAsia" w:ascii="宋体" w:hAnsi="宋体"/>
                <w:kern w:val="0"/>
                <w:szCs w:val="21"/>
              </w:rPr>
            </w:pPr>
            <w:r>
              <w:rPr>
                <w:rFonts w:hint="eastAsia" w:ascii="宋体" w:hAnsi="宋体"/>
                <w:kern w:val="0"/>
                <w:szCs w:val="21"/>
              </w:rPr>
              <w:t>5. 胸部具有真实胸腔弹力，按压深度满足CPR的要求，可完全回弹。</w:t>
            </w:r>
          </w:p>
          <w:p w14:paraId="7E19FE62">
            <w:pPr>
              <w:widowControl/>
              <w:jc w:val="left"/>
              <w:textAlignment w:val="center"/>
              <w:rPr>
                <w:rFonts w:hint="eastAsia" w:ascii="宋体" w:hAnsi="宋体"/>
                <w:kern w:val="0"/>
                <w:szCs w:val="21"/>
              </w:rPr>
            </w:pPr>
            <w:r>
              <w:rPr>
                <w:rFonts w:hint="eastAsia" w:ascii="宋体" w:hAnsi="宋体"/>
                <w:kern w:val="0"/>
                <w:szCs w:val="21"/>
              </w:rPr>
              <w:t>6. 头颈部关节连接，具有独立并且可移动的下颌，可以训练双手推举(托)下颌法。</w:t>
            </w:r>
          </w:p>
          <w:p w14:paraId="4640F1D5">
            <w:pPr>
              <w:widowControl/>
              <w:jc w:val="left"/>
              <w:textAlignment w:val="center"/>
              <w:rPr>
                <w:rFonts w:hint="eastAsia" w:ascii="宋体" w:hAnsi="宋体"/>
                <w:kern w:val="0"/>
                <w:szCs w:val="21"/>
              </w:rPr>
            </w:pPr>
            <w:r>
              <w:rPr>
                <w:rFonts w:hint="eastAsia" w:ascii="宋体" w:hAnsi="宋体"/>
                <w:kern w:val="0"/>
                <w:szCs w:val="21"/>
              </w:rPr>
              <w:t>7.口鼻部位有可拆卸的面罩，打开面罩能够暴露活动的下颌，且可以直接更换肺袋，无需拆卸模拟人身体皮肤，更换方便。</w:t>
            </w:r>
          </w:p>
          <w:p w14:paraId="448A5883">
            <w:pPr>
              <w:widowControl/>
              <w:jc w:val="left"/>
              <w:textAlignment w:val="center"/>
              <w:rPr>
                <w:rFonts w:hint="eastAsia" w:ascii="宋体" w:hAnsi="宋体"/>
                <w:kern w:val="0"/>
                <w:szCs w:val="21"/>
              </w:rPr>
            </w:pPr>
            <w:r>
              <w:rPr>
                <w:rFonts w:hint="eastAsia" w:ascii="宋体" w:hAnsi="宋体"/>
                <w:kern w:val="0"/>
                <w:szCs w:val="21"/>
              </w:rPr>
              <w:t>8. 气道可完全开放，头部可以左右大角度偏转，可以进行口对口人工呼吸或球囊面罩通气，通气时胸部有起伏。</w:t>
            </w:r>
          </w:p>
          <w:p w14:paraId="0A727528">
            <w:pPr>
              <w:widowControl/>
              <w:jc w:val="left"/>
              <w:rPr>
                <w:rFonts w:hint="eastAsia" w:ascii="宋体" w:hAnsi="宋体" w:cstheme="minorEastAsia"/>
                <w:kern w:val="0"/>
                <w:szCs w:val="21"/>
                <w:lang w:bidi="ar"/>
              </w:rPr>
            </w:pPr>
            <w:r>
              <w:rPr>
                <w:rFonts w:hint="eastAsia" w:ascii="宋体" w:hAnsi="宋体"/>
                <w:kern w:val="0"/>
                <w:szCs w:val="21"/>
              </w:rPr>
              <w:t>9. 具有独立气室系统，采用一次性肺袋收集潮气，防止吹入的水汽进入胸腔，且易清洁，肺袋小巧，便于携带。</w:t>
            </w:r>
          </w:p>
        </w:tc>
      </w:tr>
      <w:tr w14:paraId="6C4EA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256" w:hRule="atLeast"/>
        </w:trPr>
        <w:tc>
          <w:tcPr>
            <w:tcW w:w="426" w:type="dxa"/>
            <w:vAlign w:val="center"/>
          </w:tcPr>
          <w:p w14:paraId="364EE7B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w:t>
            </w:r>
          </w:p>
        </w:tc>
        <w:tc>
          <w:tcPr>
            <w:tcW w:w="966" w:type="dxa"/>
            <w:tcBorders>
              <w:top w:val="nil"/>
              <w:left w:val="single" w:color="auto" w:sz="4" w:space="0"/>
              <w:bottom w:val="single" w:color="auto" w:sz="4" w:space="0"/>
              <w:right w:val="single" w:color="auto" w:sz="4" w:space="0"/>
            </w:tcBorders>
            <w:shd w:val="clear" w:color="auto" w:fill="auto"/>
            <w:vAlign w:val="center"/>
          </w:tcPr>
          <w:p w14:paraId="0C1CA16A">
            <w:pPr>
              <w:widowControl/>
              <w:jc w:val="left"/>
              <w:rPr>
                <w:rFonts w:hint="eastAsia" w:ascii="宋体" w:hAnsi="宋体" w:cstheme="minorEastAsia"/>
                <w:kern w:val="0"/>
                <w:szCs w:val="21"/>
                <w:lang w:bidi="ar"/>
              </w:rPr>
            </w:pPr>
            <w:r>
              <w:rPr>
                <w:rFonts w:hint="eastAsia" w:ascii="宋体" w:hAnsi="宋体" w:cs="宋体"/>
                <w:kern w:val="0"/>
                <w:szCs w:val="21"/>
              </w:rPr>
              <w:t>全身心肺复苏模型</w:t>
            </w:r>
          </w:p>
        </w:tc>
        <w:tc>
          <w:tcPr>
            <w:tcW w:w="566" w:type="dxa"/>
            <w:tcBorders>
              <w:top w:val="nil"/>
              <w:left w:val="nil"/>
              <w:bottom w:val="single" w:color="auto" w:sz="4" w:space="0"/>
              <w:right w:val="single" w:color="auto" w:sz="4" w:space="0"/>
            </w:tcBorders>
            <w:shd w:val="clear" w:color="auto" w:fill="auto"/>
            <w:vAlign w:val="center"/>
          </w:tcPr>
          <w:p w14:paraId="416926FD">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364" w:type="dxa"/>
            <w:vAlign w:val="center"/>
          </w:tcPr>
          <w:p w14:paraId="7A099CA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整体：</w:t>
            </w:r>
          </w:p>
          <w:p w14:paraId="5DCCF18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1、模型模拟成年人全身的心肺复苏（CPR）模型，皮肤为优质硅胶材质。</w:t>
            </w:r>
          </w:p>
          <w:p w14:paraId="1A5B20A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按压系统：</w:t>
            </w:r>
          </w:p>
          <w:p w14:paraId="3500D1F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1、模型身上具有手部位置传感器感应按压操作手位，按压位置错误时需有提示。</w:t>
            </w:r>
          </w:p>
          <w:p w14:paraId="7B83605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2、内置感应器，可以感应到按压是否到达标准的深度，是否充分回弹。</w:t>
            </w:r>
          </w:p>
          <w:p w14:paraId="7A130C1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 xml:space="preserve">3、包括胸部弹簧（软、标准、硬）的三项可以按各种胸部刚度模拟按压，模拟不同胸骨硬度的弹簧。 </w:t>
            </w:r>
            <w:r>
              <w:rPr>
                <w:rFonts w:hint="eastAsia" w:ascii="宋体" w:hAnsi="宋体" w:cs="宋体"/>
                <w:kern w:val="0"/>
                <w:szCs w:val="21"/>
                <w:lang w:bidi="ar"/>
              </w:rPr>
              <w:br w:type="textWrapping"/>
            </w:r>
            <w:r>
              <w:rPr>
                <w:rFonts w:hint="eastAsia" w:ascii="宋体" w:hAnsi="宋体" w:cs="宋体"/>
                <w:kern w:val="0"/>
                <w:szCs w:val="21"/>
                <w:lang w:bidi="ar"/>
              </w:rPr>
              <w:t>通气系统：</w:t>
            </w:r>
          </w:p>
          <w:p w14:paraId="47C3DA8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1、模型身上具有通气传感器，记录通气次数和通气量，通气产生适当的胸部起伏。</w:t>
            </w:r>
          </w:p>
          <w:p w14:paraId="3FA4010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2、正确通气或吹气错误时有相应声音提示。</w:t>
            </w:r>
            <w:r>
              <w:rPr>
                <w:rFonts w:hint="eastAsia" w:ascii="宋体" w:hAnsi="宋体" w:cs="宋体"/>
                <w:kern w:val="0"/>
                <w:szCs w:val="21"/>
                <w:lang w:bidi="ar"/>
              </w:rPr>
              <w:br w:type="textWrapping"/>
            </w:r>
            <w:r>
              <w:rPr>
                <w:rFonts w:hint="eastAsia" w:ascii="宋体" w:hAnsi="宋体" w:cs="宋体"/>
                <w:kern w:val="0"/>
                <w:szCs w:val="21"/>
                <w:lang w:bidi="ar"/>
              </w:rPr>
              <w:t>模拟生命特征：</w:t>
            </w:r>
          </w:p>
          <w:p w14:paraId="11C75C8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3、模拟颈动脉脉搏</w:t>
            </w:r>
          </w:p>
          <w:p w14:paraId="283586B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4、瞳孔示教，抢救前后瞳孔大小，对光反射等</w:t>
            </w:r>
            <w:r>
              <w:rPr>
                <w:rFonts w:hint="eastAsia" w:ascii="宋体" w:hAnsi="宋体" w:cs="宋体"/>
                <w:kern w:val="0"/>
                <w:szCs w:val="21"/>
                <w:lang w:bidi="ar"/>
              </w:rPr>
              <w:br w:type="textWrapping"/>
            </w:r>
            <w:r>
              <w:rPr>
                <w:rFonts w:hint="eastAsia" w:ascii="宋体" w:hAnsi="宋体" w:cs="宋体"/>
                <w:kern w:val="0"/>
                <w:szCs w:val="21"/>
                <w:lang w:bidi="ar"/>
              </w:rPr>
              <w:t>5、可进行标准气道开放，有相应检测和指示</w:t>
            </w:r>
          </w:p>
          <w:p w14:paraId="287E65B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6、至少包含训练和考核模式</w:t>
            </w:r>
          </w:p>
          <w:p w14:paraId="140FDBCB">
            <w:pPr>
              <w:pStyle w:val="8"/>
              <w:rPr>
                <w:rFonts w:hint="eastAsia" w:ascii="宋体" w:hAnsi="宋体" w:cs="宋体"/>
                <w:kern w:val="0"/>
                <w:szCs w:val="21"/>
                <w:lang w:bidi="ar"/>
              </w:rPr>
            </w:pPr>
            <w:r>
              <w:rPr>
                <w:rFonts w:hint="eastAsia" w:ascii="宋体" w:hAnsi="宋体" w:cs="宋体"/>
                <w:kern w:val="0"/>
                <w:szCs w:val="21"/>
                <w:lang w:bidi="ar"/>
              </w:rPr>
              <w:t>7、实时反馈按压深度、按压速率、是否完全回弹，操作或正确有相应提示。</w:t>
            </w:r>
          </w:p>
          <w:p w14:paraId="3F6FBFD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8、吹气频率，吹气量有检测，正确或错误时有相应提示</w:t>
            </w:r>
          </w:p>
          <w:p w14:paraId="3D1F13FD">
            <w:pPr>
              <w:widowControl/>
              <w:jc w:val="left"/>
              <w:rPr>
                <w:rFonts w:hint="eastAsia" w:ascii="宋体" w:hAnsi="宋体" w:cstheme="minorEastAsia"/>
                <w:kern w:val="0"/>
                <w:szCs w:val="21"/>
                <w:lang w:bidi="ar"/>
              </w:rPr>
            </w:pPr>
            <w:r>
              <w:rPr>
                <w:rFonts w:hint="eastAsia" w:ascii="宋体" w:hAnsi="宋体" w:cs="宋体"/>
                <w:kern w:val="0"/>
                <w:szCs w:val="21"/>
                <w:lang w:bidi="ar"/>
              </w:rPr>
              <w:t>9、模型会通过显示器自动记录按压的次数和吹气的次数</w:t>
            </w:r>
          </w:p>
        </w:tc>
      </w:tr>
    </w:tbl>
    <w:p w14:paraId="1F80CA5E"/>
    <w:p w14:paraId="2AE02E06"/>
    <w:p w14:paraId="755266A8">
      <w:pPr>
        <w:snapToGrid w:val="0"/>
        <w:spacing w:line="360" w:lineRule="auto"/>
        <w:rPr>
          <w:rFonts w:ascii="Arial" w:hAnsi="Arial" w:cs="Arial"/>
          <w:b/>
          <w:bCs/>
          <w:szCs w:val="21"/>
        </w:rPr>
      </w:pPr>
      <w:r>
        <w:rPr>
          <w:rFonts w:hint="eastAsia" w:ascii="Arial" w:hAnsi="Arial" w:cs="Arial"/>
          <w:b/>
          <w:bCs/>
          <w:szCs w:val="21"/>
        </w:rPr>
        <w:t>说明：</w:t>
      </w:r>
    </w:p>
    <w:p w14:paraId="13A31FD2">
      <w:pPr>
        <w:widowControl/>
        <w:spacing w:line="360" w:lineRule="auto"/>
        <w:rPr>
          <w:rFonts w:ascii="Arial" w:hAnsi="Arial" w:cs="Arial"/>
          <w:b/>
          <w:bCs/>
          <w:szCs w:val="21"/>
        </w:rPr>
        <w:sectPr>
          <w:pgSz w:w="11906" w:h="16838"/>
          <w:pgMar w:top="1440" w:right="1440" w:bottom="1440" w:left="1440" w:header="851" w:footer="992" w:gutter="0"/>
          <w:cols w:space="720" w:num="1"/>
          <w:docGrid w:linePitch="312" w:charSpace="0"/>
        </w:sectPr>
      </w:pPr>
      <w:r>
        <w:rPr>
          <w:rFonts w:ascii="Arial" w:hAnsi="Arial" w:cs="Arial"/>
          <w:b/>
          <w:bCs/>
          <w:szCs w:val="21"/>
        </w:rPr>
        <w:t>货物</w:t>
      </w:r>
      <w:r>
        <w:rPr>
          <w:rFonts w:hint="eastAsia" w:ascii="Arial" w:hAnsi="Arial" w:cs="Arial"/>
          <w:b/>
          <w:bCs/>
          <w:szCs w:val="21"/>
        </w:rPr>
        <w:t>需求中标注“▲”</w:t>
      </w:r>
      <w:r>
        <w:rPr>
          <w:rFonts w:ascii="Arial" w:hAnsi="Arial" w:cs="Arial"/>
          <w:b/>
          <w:bCs/>
          <w:szCs w:val="21"/>
        </w:rPr>
        <w:t>允许负偏离的条款数为</w:t>
      </w:r>
      <w:r>
        <w:rPr>
          <w:rFonts w:ascii="Arial" w:hAnsi="Arial" w:cs="Arial"/>
          <w:b/>
          <w:bCs/>
          <w:szCs w:val="21"/>
          <w:u w:val="single"/>
        </w:rPr>
        <w:t xml:space="preserve"> </w:t>
      </w:r>
      <w:r>
        <w:rPr>
          <w:rFonts w:hint="eastAsia" w:ascii="Arial" w:hAnsi="Arial" w:cs="Arial"/>
          <w:b/>
          <w:bCs/>
          <w:szCs w:val="21"/>
          <w:u w:val="single"/>
        </w:rPr>
        <w:t>0</w:t>
      </w:r>
      <w:r>
        <w:rPr>
          <w:rFonts w:ascii="Arial" w:hAnsi="Arial" w:cs="Arial"/>
          <w:b/>
          <w:bCs/>
          <w:szCs w:val="21"/>
        </w:rPr>
        <w:t>项</w:t>
      </w:r>
      <w:r>
        <w:rPr>
          <w:rFonts w:hint="eastAsia" w:ascii="Arial" w:hAnsi="Arial" w:cs="Arial"/>
          <w:b/>
          <w:bCs/>
          <w:szCs w:val="21"/>
        </w:rPr>
        <w:t>；</w:t>
      </w:r>
    </w:p>
    <w:p w14:paraId="2D0D1C4A">
      <w:pPr>
        <w:pStyle w:val="12"/>
      </w:pPr>
    </w:p>
    <w:tbl>
      <w:tblPr>
        <w:tblStyle w:val="17"/>
        <w:tblpPr w:leftFromText="180" w:rightFromText="180" w:vertAnchor="text" w:horzAnchor="page" w:tblpX="1399" w:tblpY="247"/>
        <w:tblOverlap w:val="never"/>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890"/>
      </w:tblGrid>
      <w:tr w14:paraId="70BF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6B031813">
            <w:pPr>
              <w:spacing w:line="400" w:lineRule="exact"/>
              <w:jc w:val="center"/>
              <w:rPr>
                <w:rFonts w:hint="eastAsia" w:ascii="宋体" w:hAnsi="宋体" w:cs="宋体"/>
                <w:szCs w:val="21"/>
              </w:rPr>
            </w:pPr>
            <w:r>
              <w:rPr>
                <w:rFonts w:hint="eastAsia" w:asciiTheme="minorEastAsia" w:hAnsiTheme="minorEastAsia" w:cstheme="minorEastAsia"/>
                <w:b/>
                <w:kern w:val="0"/>
                <w:sz w:val="28"/>
                <w:szCs w:val="28"/>
                <w:lang w:bidi="ar"/>
              </w:rPr>
              <w:t>1分标商务要求</w:t>
            </w:r>
          </w:p>
        </w:tc>
      </w:tr>
      <w:tr w14:paraId="5A3C5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6" w:type="dxa"/>
            <w:tcBorders>
              <w:top w:val="single" w:color="auto" w:sz="4" w:space="0"/>
              <w:left w:val="single" w:color="auto" w:sz="4" w:space="0"/>
              <w:bottom w:val="single" w:color="auto" w:sz="4" w:space="0"/>
              <w:right w:val="single" w:color="auto" w:sz="4" w:space="0"/>
            </w:tcBorders>
            <w:vAlign w:val="center"/>
          </w:tcPr>
          <w:p w14:paraId="7D7409E7">
            <w:pPr>
              <w:pStyle w:val="11"/>
              <w:snapToGrid w:val="0"/>
              <w:spacing w:line="400" w:lineRule="exact"/>
              <w:jc w:val="center"/>
              <w:rPr>
                <w:rFonts w:hint="eastAsia" w:hAnsi="宋体" w:cs="宋体"/>
                <w:bCs/>
              </w:rPr>
            </w:pPr>
            <w:r>
              <w:rPr>
                <w:rFonts w:hint="eastAsia" w:hAnsi="宋体" w:cs="宋体"/>
                <w:bCs/>
              </w:rPr>
              <w:t>基本要求</w:t>
            </w:r>
          </w:p>
        </w:tc>
        <w:tc>
          <w:tcPr>
            <w:tcW w:w="7890" w:type="dxa"/>
            <w:tcBorders>
              <w:top w:val="single" w:color="auto" w:sz="4" w:space="0"/>
              <w:left w:val="single" w:color="auto" w:sz="4" w:space="0"/>
              <w:bottom w:val="single" w:color="auto" w:sz="4" w:space="0"/>
              <w:right w:val="single" w:color="auto" w:sz="4" w:space="0"/>
            </w:tcBorders>
            <w:vAlign w:val="center"/>
          </w:tcPr>
          <w:p w14:paraId="67ACE6B7">
            <w:pPr>
              <w:snapToGrid w:val="0"/>
              <w:spacing w:line="400" w:lineRule="exact"/>
              <w:rPr>
                <w:rFonts w:hint="eastAsia" w:ascii="宋体" w:hAnsi="宋体" w:cs="宋体"/>
                <w:szCs w:val="21"/>
              </w:rPr>
            </w:pPr>
            <w:r>
              <w:rPr>
                <w:rFonts w:hint="eastAsia" w:ascii="宋体" w:hAnsi="宋体" w:cs="宋体"/>
                <w:szCs w:val="21"/>
              </w:rPr>
              <w:t>1.本项目投标报价包括货物及货物运抵指定交付地点的各种费用、随配附件、备品备件、易损件、专用工具、安装调试、技术培训、技术资料、包装、售后服务、保险费、税金、验收检验及其他所有成本费用的总和；</w:t>
            </w:r>
          </w:p>
          <w:p w14:paraId="6F1BE7CC">
            <w:pPr>
              <w:spacing w:line="400" w:lineRule="exact"/>
              <w:rPr>
                <w:rFonts w:hint="eastAsia" w:ascii="宋体" w:hAnsi="宋体" w:cs="宋体"/>
                <w:szCs w:val="21"/>
              </w:rPr>
            </w:pPr>
            <w:r>
              <w:rPr>
                <w:rFonts w:hint="eastAsia" w:ascii="宋体" w:hAnsi="宋体" w:cs="宋体"/>
                <w:szCs w:val="21"/>
              </w:rPr>
              <w:t>2.投标人应保证投标产品涉及到的知识产权和所提供的相关技术资料是合法取得，不会因为采购人的使用而被责令停止使用、追偿或要求赔偿损失，如出现此情况，一切经济和法律责任均由投标人承担；</w:t>
            </w:r>
          </w:p>
          <w:p w14:paraId="1C987DD7">
            <w:pPr>
              <w:spacing w:line="400" w:lineRule="exact"/>
              <w:rPr>
                <w:rFonts w:hint="eastAsia" w:ascii="宋体" w:hAnsi="宋体" w:cs="宋体"/>
                <w:szCs w:val="21"/>
              </w:rPr>
            </w:pPr>
            <w:r>
              <w:rPr>
                <w:rFonts w:hint="eastAsia" w:ascii="宋体" w:hAnsi="宋体" w:cs="宋体"/>
                <w:szCs w:val="21"/>
              </w:rPr>
              <w:t>3.投标人应列明详细的产品及相关产品及部件名称、品牌、型号规格、产地和生产厂家及提供完整的技术文件；</w:t>
            </w:r>
          </w:p>
          <w:p w14:paraId="212056FB">
            <w:pPr>
              <w:spacing w:line="400" w:lineRule="exact"/>
              <w:rPr>
                <w:rFonts w:hint="eastAsia" w:ascii="宋体" w:hAnsi="宋体" w:cs="宋体"/>
                <w:szCs w:val="21"/>
              </w:rPr>
            </w:pPr>
            <w:r>
              <w:rPr>
                <w:rFonts w:hint="eastAsia" w:ascii="宋体" w:hAnsi="宋体" w:cs="宋体"/>
                <w:szCs w:val="21"/>
              </w:rPr>
              <w:t>4.投标文件应正确反映投标产品的技术水平和科技含量，投标产品如包括必备的随机附件及零配件、易损易耗备品备件和专用工具，投标人应提供其清单；</w:t>
            </w:r>
          </w:p>
          <w:p w14:paraId="70B5A5A9">
            <w:pPr>
              <w:spacing w:line="400" w:lineRule="exact"/>
              <w:rPr>
                <w:rFonts w:hint="eastAsia" w:ascii="宋体" w:hAnsi="宋体" w:cs="宋体"/>
                <w:szCs w:val="21"/>
              </w:rPr>
            </w:pPr>
            <w:r>
              <w:rPr>
                <w:rFonts w:hint="eastAsia" w:ascii="宋体" w:hAnsi="宋体" w:cs="宋体"/>
                <w:szCs w:val="21"/>
              </w:rPr>
              <w:t>5.投标人所投产品应符合国家有关部门规定的相应技术、节能、安全和环保标准；国家有关部门对所投产品有强制性规定或要求的，必须符合相应规定或要求。</w:t>
            </w:r>
          </w:p>
          <w:p w14:paraId="03A1335E">
            <w:pPr>
              <w:spacing w:line="400" w:lineRule="exact"/>
              <w:rPr>
                <w:rFonts w:hint="eastAsia" w:ascii="宋体" w:hAnsi="宋体" w:cs="宋体"/>
                <w:szCs w:val="21"/>
              </w:rPr>
            </w:pPr>
            <w:r>
              <w:rPr>
                <w:rFonts w:hint="eastAsia" w:ascii="宋体" w:hAnsi="宋体" w:cs="宋体"/>
                <w:szCs w:val="21"/>
              </w:rPr>
              <w:t>6.从通过验收即日起计算，存在质量问题的货物，提供15天包换。</w:t>
            </w:r>
          </w:p>
        </w:tc>
      </w:tr>
      <w:tr w14:paraId="69AB7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56FF1B05">
            <w:pPr>
              <w:pStyle w:val="11"/>
              <w:snapToGrid w:val="0"/>
              <w:spacing w:line="400" w:lineRule="exact"/>
              <w:jc w:val="center"/>
              <w:rPr>
                <w:rFonts w:hint="eastAsia" w:hAnsi="宋体" w:cs="宋体"/>
                <w:bCs/>
              </w:rPr>
            </w:pPr>
            <w:r>
              <w:rPr>
                <w:rFonts w:hint="eastAsia" w:hAnsi="宋体" w:cs="宋体"/>
                <w:bCs/>
              </w:rPr>
              <w:t>售后服务以及其他要求</w:t>
            </w:r>
          </w:p>
        </w:tc>
        <w:tc>
          <w:tcPr>
            <w:tcW w:w="7890" w:type="dxa"/>
            <w:tcBorders>
              <w:top w:val="single" w:color="auto" w:sz="4" w:space="0"/>
              <w:left w:val="single" w:color="auto" w:sz="4" w:space="0"/>
              <w:bottom w:val="single" w:color="auto" w:sz="4" w:space="0"/>
              <w:right w:val="single" w:color="auto" w:sz="4" w:space="0"/>
            </w:tcBorders>
            <w:vAlign w:val="center"/>
          </w:tcPr>
          <w:p w14:paraId="13BC75D9">
            <w:pPr>
              <w:pStyle w:val="4"/>
              <w:spacing w:line="400" w:lineRule="exact"/>
              <w:ind w:left="0"/>
              <w:rPr>
                <w:rFonts w:hint="eastAsia" w:ascii="宋体" w:hAnsi="宋体" w:cs="宋体"/>
                <w:szCs w:val="21"/>
              </w:rPr>
            </w:pPr>
            <w:r>
              <w:rPr>
                <w:rFonts w:hint="eastAsia" w:ascii="宋体" w:hAnsi="宋体" w:cs="宋体"/>
                <w:szCs w:val="21"/>
              </w:rPr>
              <w:t>一.售后服务最低要求</w:t>
            </w:r>
          </w:p>
          <w:p w14:paraId="4001AFF1">
            <w:pPr>
              <w:pStyle w:val="4"/>
              <w:spacing w:line="400" w:lineRule="exact"/>
              <w:ind w:left="0"/>
              <w:rPr>
                <w:rFonts w:hint="eastAsia" w:ascii="宋体" w:hAnsi="宋体" w:cs="宋体"/>
                <w:szCs w:val="21"/>
              </w:rPr>
            </w:pPr>
            <w:r>
              <w:rPr>
                <w:rFonts w:hint="eastAsia" w:ascii="宋体" w:hAnsi="宋体" w:cs="宋体"/>
                <w:szCs w:val="21"/>
              </w:rPr>
              <w:t>▲1.供应商提供的所有产品必须是全新的、完整的原装产品。</w:t>
            </w:r>
          </w:p>
          <w:p w14:paraId="1BC78D8A">
            <w:pPr>
              <w:pStyle w:val="4"/>
              <w:spacing w:line="400" w:lineRule="exact"/>
              <w:ind w:left="0"/>
              <w:rPr>
                <w:rFonts w:hint="eastAsia" w:ascii="宋体" w:hAnsi="宋体" w:cs="宋体"/>
                <w:szCs w:val="21"/>
              </w:rPr>
            </w:pPr>
            <w:r>
              <w:rPr>
                <w:rFonts w:hint="eastAsia" w:ascii="宋体" w:hAnsi="宋体" w:cs="宋体"/>
                <w:szCs w:val="21"/>
              </w:rPr>
              <w:t>▲2.质量保质期要求：按国家有关产品“三包”规定执行“三包”，质保期为自验收合格之日起至少3年。</w:t>
            </w:r>
          </w:p>
          <w:p w14:paraId="518DAA91">
            <w:pPr>
              <w:pStyle w:val="4"/>
              <w:spacing w:line="400" w:lineRule="exact"/>
              <w:ind w:left="0"/>
              <w:rPr>
                <w:rFonts w:hint="eastAsia" w:ascii="宋体" w:hAnsi="宋体" w:cs="宋体"/>
                <w:szCs w:val="21"/>
              </w:rPr>
            </w:pPr>
            <w:r>
              <w:rPr>
                <w:rFonts w:hint="eastAsia" w:ascii="宋体" w:hAnsi="宋体" w:cs="宋体"/>
                <w:szCs w:val="21"/>
              </w:rPr>
              <w:t>3.在项目实施过程中或在质保期内，因采购人的项目实施地点变更的，中标人必须无条件配合完成相关工作，包括但不限于：</w:t>
            </w:r>
          </w:p>
          <w:p w14:paraId="42D568CC">
            <w:pPr>
              <w:pStyle w:val="4"/>
              <w:spacing w:line="400" w:lineRule="exact"/>
              <w:ind w:left="0"/>
              <w:rPr>
                <w:rFonts w:hint="eastAsia" w:ascii="宋体" w:hAnsi="宋体" w:cs="宋体"/>
                <w:szCs w:val="21"/>
              </w:rPr>
            </w:pPr>
            <w:r>
              <w:rPr>
                <w:rFonts w:hint="eastAsia" w:ascii="宋体" w:hAnsi="宋体" w:cs="宋体"/>
                <w:szCs w:val="21"/>
              </w:rPr>
              <w:t>3.1. 设备及材料的搬迁：安排并承担设备及材料从原地点到新地点的搬迁工作，确保设备在搬迁过程中不受损坏。</w:t>
            </w:r>
          </w:p>
          <w:p w14:paraId="10223813">
            <w:pPr>
              <w:pStyle w:val="4"/>
              <w:spacing w:line="400" w:lineRule="exact"/>
              <w:ind w:left="0"/>
              <w:rPr>
                <w:rFonts w:hint="eastAsia" w:ascii="宋体" w:hAnsi="宋体" w:cs="宋体"/>
                <w:szCs w:val="21"/>
              </w:rPr>
            </w:pPr>
            <w:r>
              <w:rPr>
                <w:rFonts w:hint="eastAsia" w:ascii="宋体" w:hAnsi="宋体" w:cs="宋体"/>
                <w:szCs w:val="21"/>
              </w:rPr>
              <w:t>3.2. 安装与调试：在新地点重新进行设备的安装与调试，确保设备能够正常运行，并达到合同规定的性能标准。</w:t>
            </w:r>
          </w:p>
          <w:p w14:paraId="0BCDDBD7">
            <w:pPr>
              <w:pStyle w:val="4"/>
              <w:spacing w:line="400" w:lineRule="exact"/>
              <w:ind w:left="0"/>
              <w:rPr>
                <w:rFonts w:hint="eastAsia" w:ascii="宋体" w:hAnsi="宋体" w:cs="宋体"/>
                <w:szCs w:val="21"/>
              </w:rPr>
            </w:pPr>
            <w:r>
              <w:rPr>
                <w:rFonts w:hint="eastAsia" w:ascii="宋体" w:hAnsi="宋体" w:cs="宋体"/>
                <w:szCs w:val="21"/>
              </w:rPr>
              <w:t>3.3. 维护与保养：在新地点继续履行质保期内的维护与保养义务，确保设备在质保期内的正常运行。</w:t>
            </w:r>
          </w:p>
          <w:p w14:paraId="73777DA7">
            <w:pPr>
              <w:pStyle w:val="4"/>
              <w:spacing w:line="400" w:lineRule="exact"/>
              <w:ind w:left="0"/>
              <w:rPr>
                <w:rFonts w:hint="eastAsia" w:ascii="宋体" w:hAnsi="宋体" w:cs="宋体"/>
                <w:szCs w:val="21"/>
              </w:rPr>
            </w:pPr>
            <w:r>
              <w:rPr>
                <w:rFonts w:hint="eastAsia" w:ascii="宋体" w:hAnsi="宋体" w:cs="宋体"/>
                <w:szCs w:val="21"/>
              </w:rPr>
              <w:t>3.4. 文档更新：根据新地点的实际情况，更新相关技术文档、操作手册及维护记录，并提交给采购方。</w:t>
            </w:r>
          </w:p>
          <w:p w14:paraId="4A1C5280">
            <w:pPr>
              <w:pStyle w:val="4"/>
              <w:spacing w:line="400" w:lineRule="exact"/>
              <w:ind w:left="0"/>
              <w:rPr>
                <w:rFonts w:hint="eastAsia" w:ascii="宋体" w:hAnsi="宋体" w:cs="宋体"/>
                <w:szCs w:val="21"/>
              </w:rPr>
            </w:pPr>
            <w:r>
              <w:rPr>
                <w:rFonts w:hint="eastAsia" w:ascii="宋体" w:hAnsi="宋体" w:cs="宋体"/>
                <w:szCs w:val="21"/>
              </w:rPr>
              <w:t>3.5. 应急处理：在搬迁及重新安装过程中，如遇突发情况，供应商应迅速响应并采取有效措施，确保项目不受影响。</w:t>
            </w:r>
          </w:p>
          <w:p w14:paraId="3B95C274">
            <w:pPr>
              <w:pStyle w:val="4"/>
              <w:spacing w:line="400" w:lineRule="exact"/>
              <w:ind w:left="0"/>
              <w:rPr>
                <w:rFonts w:hint="eastAsia" w:ascii="宋体" w:hAnsi="宋体" w:cs="宋体"/>
                <w:szCs w:val="21"/>
              </w:rPr>
            </w:pPr>
            <w:r>
              <w:rPr>
                <w:rFonts w:hint="eastAsia" w:ascii="宋体" w:hAnsi="宋体" w:cs="宋体"/>
                <w:szCs w:val="21"/>
              </w:rPr>
              <w:t>4.售后服务：</w:t>
            </w:r>
          </w:p>
          <w:p w14:paraId="7B51C0B1">
            <w:pPr>
              <w:pStyle w:val="4"/>
              <w:spacing w:line="400" w:lineRule="exact"/>
              <w:ind w:left="0"/>
              <w:rPr>
                <w:rFonts w:hint="eastAsia" w:ascii="宋体" w:hAnsi="宋体" w:cs="宋体"/>
                <w:szCs w:val="21"/>
              </w:rPr>
            </w:pPr>
            <w:r>
              <w:rPr>
                <w:rFonts w:hint="eastAsia" w:ascii="宋体" w:hAnsi="宋体" w:cs="宋体"/>
                <w:szCs w:val="21"/>
              </w:rPr>
              <w:t>4.1. 在质保期内免费提供维修和更换零部件服务。质保期结束后，可以选择延长质保期，投标方需提供相应的费用和服务方案。</w:t>
            </w:r>
          </w:p>
          <w:p w14:paraId="0A5A3D5E">
            <w:pPr>
              <w:pStyle w:val="4"/>
              <w:spacing w:line="400" w:lineRule="exact"/>
              <w:ind w:left="0"/>
              <w:rPr>
                <w:rFonts w:hint="eastAsia" w:ascii="宋体" w:hAnsi="宋体" w:cs="宋体"/>
                <w:szCs w:val="21"/>
              </w:rPr>
            </w:pPr>
            <w:r>
              <w:rPr>
                <w:rFonts w:hint="eastAsia" w:ascii="宋体" w:hAnsi="宋体" w:cs="宋体"/>
                <w:szCs w:val="21"/>
              </w:rPr>
              <w:t>4.2. 提供产品终身24/7的技术支持热线，确保在任何时间都能获得技术支持。</w:t>
            </w:r>
          </w:p>
          <w:p w14:paraId="42F0E463">
            <w:pPr>
              <w:pStyle w:val="4"/>
              <w:spacing w:line="400" w:lineRule="exact"/>
              <w:ind w:left="0"/>
              <w:rPr>
                <w:rFonts w:hint="eastAsia" w:ascii="宋体" w:hAnsi="宋体" w:cs="宋体"/>
                <w:szCs w:val="21"/>
              </w:rPr>
            </w:pPr>
            <w:r>
              <w:rPr>
                <w:rFonts w:hint="eastAsia" w:ascii="宋体" w:hAnsi="宋体" w:cs="宋体"/>
                <w:szCs w:val="21"/>
              </w:rPr>
              <w:t>4.3. 为客户提供详细的操作和维护培训，提供详细的培训手册和操作指南。</w:t>
            </w:r>
          </w:p>
          <w:p w14:paraId="2E768E5F">
            <w:pPr>
              <w:pStyle w:val="4"/>
              <w:spacing w:line="400" w:lineRule="exact"/>
              <w:ind w:left="0"/>
              <w:rPr>
                <w:rFonts w:hint="eastAsia" w:ascii="宋体" w:hAnsi="宋体" w:cs="宋体"/>
                <w:szCs w:val="21"/>
              </w:rPr>
            </w:pPr>
            <w:r>
              <w:rPr>
                <w:rFonts w:hint="eastAsia" w:ascii="宋体" w:hAnsi="宋体" w:cs="宋体"/>
                <w:szCs w:val="21"/>
              </w:rPr>
              <w:t>4.4. 维修响应参考一般响应：2小时之内响应，1周内完成修复。更换零部件的30天内完成修复。</w:t>
            </w:r>
          </w:p>
          <w:p w14:paraId="15409547">
            <w:pPr>
              <w:pStyle w:val="4"/>
              <w:spacing w:line="400" w:lineRule="exact"/>
              <w:ind w:left="0"/>
              <w:rPr>
                <w:rFonts w:hint="eastAsia" w:ascii="宋体" w:hAnsi="宋体" w:cs="宋体"/>
                <w:szCs w:val="21"/>
              </w:rPr>
            </w:pPr>
          </w:p>
        </w:tc>
      </w:tr>
      <w:tr w14:paraId="6CF1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7148EB36">
            <w:pPr>
              <w:pStyle w:val="11"/>
              <w:snapToGrid w:val="0"/>
              <w:spacing w:line="400" w:lineRule="exact"/>
              <w:jc w:val="center"/>
              <w:rPr>
                <w:rFonts w:hint="eastAsia" w:hAnsi="宋体" w:cs="宋体"/>
                <w:bCs/>
              </w:rPr>
            </w:pPr>
            <w:r>
              <w:rPr>
                <w:rFonts w:hint="eastAsia" w:hAnsi="宋体" w:cs="宋体"/>
                <w:bCs/>
              </w:rPr>
              <w:t>交货时间及地点</w:t>
            </w:r>
          </w:p>
        </w:tc>
        <w:tc>
          <w:tcPr>
            <w:tcW w:w="7890" w:type="dxa"/>
            <w:tcBorders>
              <w:top w:val="single" w:color="auto" w:sz="4" w:space="0"/>
              <w:left w:val="single" w:color="auto" w:sz="4" w:space="0"/>
              <w:bottom w:val="single" w:color="auto" w:sz="4" w:space="0"/>
              <w:right w:val="single" w:color="auto" w:sz="4" w:space="0"/>
            </w:tcBorders>
            <w:vAlign w:val="center"/>
          </w:tcPr>
          <w:p w14:paraId="15746AE9">
            <w:pPr>
              <w:pStyle w:val="11"/>
              <w:snapToGrid w:val="0"/>
              <w:spacing w:line="400" w:lineRule="exact"/>
              <w:rPr>
                <w:rFonts w:hint="eastAsia" w:hAnsi="宋体" w:cs="宋体"/>
                <w:bCs/>
              </w:rPr>
            </w:pPr>
            <w:r>
              <w:rPr>
                <w:rFonts w:hint="eastAsia" w:hAnsi="宋体" w:cs="宋体"/>
                <w:bCs/>
              </w:rPr>
              <w:t>▲1.交货时间：合同签订之日起30日历天内安装调试完毕，验收合格并交付使用。</w:t>
            </w:r>
          </w:p>
          <w:p w14:paraId="2E361C86">
            <w:pPr>
              <w:pStyle w:val="11"/>
              <w:snapToGrid w:val="0"/>
              <w:spacing w:line="400" w:lineRule="exact"/>
              <w:rPr>
                <w:rFonts w:hint="eastAsia" w:hAnsi="宋体" w:cs="宋体"/>
                <w:bCs/>
              </w:rPr>
            </w:pPr>
            <w:r>
              <w:rPr>
                <w:rFonts w:hint="eastAsia" w:hAnsi="宋体" w:cs="宋体"/>
              </w:rPr>
              <w:t>▲</w:t>
            </w:r>
            <w:r>
              <w:rPr>
                <w:rFonts w:hint="eastAsia" w:hAnsi="宋体" w:cs="宋体"/>
                <w:bCs/>
              </w:rPr>
              <w:t>2.交货地点：广西柳州羊角山路8号，广西壮族自治区胸科医院。</w:t>
            </w:r>
          </w:p>
        </w:tc>
      </w:tr>
      <w:tr w14:paraId="52950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78F7CD75">
            <w:pPr>
              <w:pStyle w:val="11"/>
              <w:snapToGrid w:val="0"/>
              <w:spacing w:line="400" w:lineRule="exact"/>
              <w:jc w:val="center"/>
              <w:rPr>
                <w:rFonts w:hint="eastAsia" w:hAnsi="宋体" w:cs="宋体"/>
                <w:bCs/>
              </w:rPr>
            </w:pPr>
            <w:r>
              <w:rPr>
                <w:rFonts w:hint="eastAsia" w:hAnsi="宋体" w:cs="宋体"/>
                <w:bCs/>
              </w:rPr>
              <w:t>付款方式</w:t>
            </w:r>
          </w:p>
        </w:tc>
        <w:tc>
          <w:tcPr>
            <w:tcW w:w="7890" w:type="dxa"/>
            <w:tcBorders>
              <w:top w:val="single" w:color="auto" w:sz="4" w:space="0"/>
              <w:left w:val="single" w:color="auto" w:sz="4" w:space="0"/>
              <w:bottom w:val="single" w:color="auto" w:sz="4" w:space="0"/>
              <w:right w:val="single" w:color="auto" w:sz="4" w:space="0"/>
            </w:tcBorders>
            <w:vAlign w:val="center"/>
          </w:tcPr>
          <w:p w14:paraId="55920A8C">
            <w:pPr>
              <w:pStyle w:val="11"/>
              <w:snapToGrid w:val="0"/>
              <w:spacing w:line="400" w:lineRule="exact"/>
              <w:rPr>
                <w:rFonts w:hint="eastAsia" w:hAnsi="宋体" w:cs="宋体"/>
              </w:rPr>
            </w:pPr>
            <w:r>
              <w:rPr>
                <w:rFonts w:hint="eastAsia" w:hAnsi="宋体" w:cs="宋体"/>
              </w:rPr>
              <w:t>1.预付款</w:t>
            </w:r>
          </w:p>
          <w:p w14:paraId="5EAB7F3D">
            <w:pPr>
              <w:pStyle w:val="11"/>
              <w:snapToGrid w:val="0"/>
              <w:spacing w:line="400" w:lineRule="exact"/>
              <w:rPr>
                <w:rFonts w:hint="eastAsia" w:hAnsi="宋体" w:cs="宋体"/>
              </w:rPr>
            </w:pPr>
            <w:r>
              <w:rPr>
                <w:rFonts w:hint="eastAsia" w:hAnsi="宋体" w:cs="宋体"/>
              </w:rPr>
              <w:t>自签订合同之日起的第15个工作日内，甲方向乙方支付合同金额的30%。</w:t>
            </w:r>
          </w:p>
          <w:p w14:paraId="743D33F4">
            <w:pPr>
              <w:pStyle w:val="11"/>
              <w:snapToGrid w:val="0"/>
              <w:spacing w:line="400" w:lineRule="exact"/>
              <w:rPr>
                <w:rFonts w:hint="eastAsia" w:hAnsi="宋体" w:cs="宋体"/>
              </w:rPr>
            </w:pPr>
            <w:r>
              <w:rPr>
                <w:rFonts w:hint="eastAsia" w:hAnsi="宋体" w:cs="宋体"/>
              </w:rPr>
              <w:t>2.进度款</w:t>
            </w:r>
          </w:p>
          <w:p w14:paraId="6AFF0DF3">
            <w:pPr>
              <w:pStyle w:val="11"/>
              <w:snapToGrid w:val="0"/>
              <w:spacing w:line="400" w:lineRule="exact"/>
              <w:rPr>
                <w:rFonts w:hint="eastAsia" w:hAnsi="宋体" w:cs="宋体"/>
              </w:rPr>
            </w:pPr>
            <w:r>
              <w:rPr>
                <w:rFonts w:hint="eastAsia" w:hAnsi="宋体" w:cs="宋体"/>
              </w:rPr>
              <w:t>当项目完成安装调试，验收合格，并正式运行后的15个工作日内，甲方向乙方支付合同金额的70%。</w:t>
            </w:r>
          </w:p>
          <w:p w14:paraId="55C71C49">
            <w:pPr>
              <w:pStyle w:val="11"/>
              <w:snapToGrid w:val="0"/>
              <w:spacing w:line="400" w:lineRule="exact"/>
              <w:rPr>
                <w:rFonts w:hint="eastAsia" w:hAnsi="宋体" w:cs="宋体"/>
              </w:rPr>
            </w:pPr>
            <w:r>
              <w:rPr>
                <w:rFonts w:hint="eastAsia" w:hAnsi="宋体" w:cs="宋体"/>
                <w:b/>
                <w:bCs/>
              </w:rPr>
              <w:t>注：中标单位每次请款时必须提供等额发票给采购人。</w:t>
            </w:r>
          </w:p>
        </w:tc>
      </w:tr>
      <w:tr w14:paraId="4CA6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39C161D1">
            <w:pPr>
              <w:spacing w:line="400" w:lineRule="exact"/>
              <w:ind w:right="-27" w:rightChars="-13"/>
              <w:jc w:val="center"/>
              <w:rPr>
                <w:rFonts w:hint="eastAsia" w:ascii="宋体" w:hAnsi="宋体" w:cs="宋体"/>
                <w:bCs/>
                <w:szCs w:val="21"/>
                <w:lang w:val="en-GB"/>
              </w:rPr>
            </w:pPr>
            <w:r>
              <w:rPr>
                <w:rFonts w:hint="eastAsia" w:ascii="宋体" w:hAnsi="宋体" w:cs="宋体"/>
                <w:szCs w:val="21"/>
              </w:rPr>
              <w:t>履约保证金</w:t>
            </w:r>
          </w:p>
        </w:tc>
        <w:tc>
          <w:tcPr>
            <w:tcW w:w="7890" w:type="dxa"/>
            <w:tcBorders>
              <w:top w:val="single" w:color="auto" w:sz="4" w:space="0"/>
              <w:left w:val="single" w:color="auto" w:sz="4" w:space="0"/>
              <w:bottom w:val="single" w:color="auto" w:sz="4" w:space="0"/>
              <w:right w:val="single" w:color="auto" w:sz="4" w:space="0"/>
            </w:tcBorders>
            <w:vAlign w:val="center"/>
          </w:tcPr>
          <w:p w14:paraId="4AD25B6D">
            <w:pPr>
              <w:numPr>
                <w:ilvl w:val="255"/>
                <w:numId w:val="0"/>
              </w:numPr>
              <w:spacing w:line="400" w:lineRule="exact"/>
              <w:jc w:val="left"/>
              <w:rPr>
                <w:rFonts w:hint="eastAsia" w:ascii="宋体" w:hAnsi="宋体" w:cs="宋体"/>
                <w:bCs/>
                <w:szCs w:val="21"/>
              </w:rPr>
            </w:pPr>
            <w:r>
              <w:rPr>
                <w:rFonts w:hint="eastAsia" w:ascii="宋体" w:hAnsi="宋体" w:cs="宋体"/>
                <w:bCs/>
                <w:szCs w:val="21"/>
              </w:rPr>
              <w:t>1.合同金额的2%。由中标人于项目验收合格后10个工作日内支付至采购人如下账户：</w:t>
            </w:r>
          </w:p>
          <w:p w14:paraId="030A4FE6">
            <w:pPr>
              <w:pStyle w:val="16"/>
              <w:spacing w:line="400" w:lineRule="exact"/>
              <w:ind w:left="0" w:leftChars="0" w:firstLine="0" w:firstLineChars="0"/>
            </w:pPr>
            <w:r>
              <w:t>开户名称：广西壮族自治区胸科医院</w:t>
            </w:r>
          </w:p>
          <w:p w14:paraId="3DA7E23A">
            <w:pPr>
              <w:pStyle w:val="16"/>
              <w:spacing w:line="400" w:lineRule="exact"/>
              <w:ind w:left="0" w:leftChars="0" w:firstLine="0" w:firstLineChars="0"/>
            </w:pPr>
            <w:r>
              <w:t>开户银行：</w:t>
            </w:r>
          </w:p>
          <w:p w14:paraId="6C9EA356">
            <w:pPr>
              <w:pStyle w:val="16"/>
              <w:spacing w:line="400" w:lineRule="exact"/>
              <w:ind w:left="0" w:leftChars="0" w:firstLine="0" w:firstLineChars="0"/>
            </w:pPr>
            <w:r>
              <w:t>银行账号：</w:t>
            </w:r>
          </w:p>
          <w:p w14:paraId="1CED0A0A">
            <w:pPr>
              <w:pStyle w:val="16"/>
              <w:spacing w:line="400" w:lineRule="exact"/>
              <w:ind w:left="0" w:leftChars="0" w:firstLine="0" w:firstLineChars="0"/>
            </w:pPr>
            <w:r>
              <w:rPr>
                <w:rFonts w:hint="eastAsia"/>
              </w:rPr>
              <w:t>2.履约保证于项目质保期结束后15日历天内退回（不计息）。</w:t>
            </w:r>
          </w:p>
        </w:tc>
      </w:tr>
      <w:tr w14:paraId="6EF0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3755E454">
            <w:pPr>
              <w:widowControl/>
              <w:spacing w:line="400" w:lineRule="exact"/>
              <w:jc w:val="center"/>
              <w:textAlignment w:val="center"/>
              <w:rPr>
                <w:rFonts w:hint="eastAsia" w:ascii="宋体" w:hAnsi="宋体" w:cs="宋体"/>
                <w:szCs w:val="21"/>
              </w:rPr>
            </w:pPr>
            <w:r>
              <w:rPr>
                <w:rFonts w:hint="eastAsia" w:ascii="宋体" w:hAnsi="宋体" w:cs="宋体"/>
                <w:szCs w:val="21"/>
              </w:rPr>
              <w:t>备品备件及耗材等要求</w:t>
            </w:r>
          </w:p>
        </w:tc>
        <w:tc>
          <w:tcPr>
            <w:tcW w:w="7890" w:type="dxa"/>
            <w:tcBorders>
              <w:top w:val="single" w:color="auto" w:sz="4" w:space="0"/>
              <w:left w:val="single" w:color="auto" w:sz="4" w:space="0"/>
              <w:bottom w:val="single" w:color="auto" w:sz="4" w:space="0"/>
              <w:right w:val="single" w:color="auto" w:sz="4" w:space="0"/>
            </w:tcBorders>
            <w:vAlign w:val="center"/>
          </w:tcPr>
          <w:p w14:paraId="7525336B">
            <w:pPr>
              <w:widowControl/>
              <w:spacing w:line="400" w:lineRule="exact"/>
              <w:jc w:val="left"/>
              <w:textAlignment w:val="center"/>
              <w:rPr>
                <w:rFonts w:hint="eastAsia" w:ascii="宋体" w:hAnsi="宋体" w:cs="宋体"/>
                <w:szCs w:val="21"/>
              </w:rPr>
            </w:pPr>
            <w:r>
              <w:rPr>
                <w:rFonts w:hint="eastAsia" w:ascii="宋体" w:hAnsi="宋体" w:cs="宋体"/>
                <w:szCs w:val="21"/>
              </w:rPr>
              <w:t>1.投标人所提供零部件、配件及安装材料必须是符合国家规定质量安全标准的全新、合格产品；该项费用应包含在报价中；</w:t>
            </w:r>
          </w:p>
          <w:p w14:paraId="2F3285F6">
            <w:pPr>
              <w:widowControl/>
              <w:spacing w:line="400" w:lineRule="exact"/>
              <w:jc w:val="left"/>
              <w:textAlignment w:val="center"/>
              <w:rPr>
                <w:rFonts w:hint="eastAsia" w:ascii="宋体" w:hAnsi="宋体" w:cs="宋体"/>
                <w:szCs w:val="21"/>
              </w:rPr>
            </w:pPr>
            <w:r>
              <w:rPr>
                <w:rFonts w:hint="eastAsia" w:ascii="宋体" w:hAnsi="宋体" w:cs="宋体"/>
                <w:szCs w:val="21"/>
              </w:rPr>
              <w:t>2.投标人所提供完整的全套设备须包括必备的易损耗备件和专用工具；</w:t>
            </w:r>
          </w:p>
          <w:p w14:paraId="4049EC09">
            <w:pPr>
              <w:widowControl/>
              <w:spacing w:line="400" w:lineRule="exact"/>
              <w:jc w:val="left"/>
              <w:textAlignment w:val="center"/>
              <w:rPr>
                <w:rFonts w:hint="eastAsia" w:ascii="宋体" w:hAnsi="宋体" w:cs="宋体"/>
                <w:b/>
                <w:bCs/>
                <w:szCs w:val="21"/>
              </w:rPr>
            </w:pPr>
            <w:r>
              <w:rPr>
                <w:rFonts w:hint="eastAsia" w:ascii="宋体" w:hAnsi="宋体" w:cs="宋体"/>
                <w:szCs w:val="21"/>
              </w:rPr>
              <w:t>3.投标人必须有完善的备品备件库体系，质保期内能提供相应的免费的措施和配件，保证过质保期后</w:t>
            </w:r>
            <w:r>
              <w:rPr>
                <w:rFonts w:hint="eastAsia" w:ascii="宋体" w:hAnsi="宋体" w:cs="宋体"/>
                <w:szCs w:val="21"/>
                <w:u w:val="single"/>
              </w:rPr>
              <w:t>五年内</w:t>
            </w:r>
            <w:r>
              <w:rPr>
                <w:rFonts w:hint="eastAsia" w:ascii="宋体" w:hAnsi="宋体" w:cs="宋体"/>
                <w:szCs w:val="21"/>
              </w:rPr>
              <w:t>有足够的备品备件，为完成本项目技术支持、服务需求提供可靠保证。</w:t>
            </w:r>
          </w:p>
        </w:tc>
      </w:tr>
      <w:tr w14:paraId="55A2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29239899">
            <w:pPr>
              <w:pStyle w:val="11"/>
              <w:snapToGrid w:val="0"/>
              <w:spacing w:line="400" w:lineRule="exact"/>
              <w:rPr>
                <w:rFonts w:hint="eastAsia" w:hAnsi="宋体" w:cs="宋体"/>
                <w:bCs/>
              </w:rPr>
            </w:pPr>
            <w:r>
              <w:rPr>
                <w:rFonts w:hint="eastAsia" w:hAnsi="宋体" w:cs="宋体"/>
                <w:b/>
                <w:bCs/>
              </w:rPr>
              <w:t>三、验收要求</w:t>
            </w:r>
          </w:p>
        </w:tc>
      </w:tr>
      <w:tr w14:paraId="266B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6" w:type="dxa"/>
            <w:tcBorders>
              <w:top w:val="single" w:color="auto" w:sz="4" w:space="0"/>
              <w:left w:val="single" w:color="auto" w:sz="4" w:space="0"/>
              <w:bottom w:val="single" w:color="auto" w:sz="4" w:space="0"/>
              <w:right w:val="single" w:color="auto" w:sz="4" w:space="0"/>
            </w:tcBorders>
            <w:vAlign w:val="center"/>
          </w:tcPr>
          <w:p w14:paraId="42F8E219">
            <w:pPr>
              <w:pStyle w:val="11"/>
              <w:snapToGrid w:val="0"/>
              <w:spacing w:line="400" w:lineRule="exact"/>
              <w:jc w:val="center"/>
              <w:rPr>
                <w:rFonts w:hint="eastAsia" w:hAnsi="宋体" w:cs="宋体"/>
                <w:bCs/>
              </w:rPr>
            </w:pPr>
            <w:r>
              <w:rPr>
                <w:rFonts w:hint="eastAsia" w:hAnsi="宋体" w:cs="宋体"/>
                <w:bCs/>
              </w:rPr>
              <w:t>验收标准及要求</w:t>
            </w:r>
          </w:p>
        </w:tc>
        <w:tc>
          <w:tcPr>
            <w:tcW w:w="7890" w:type="dxa"/>
            <w:tcBorders>
              <w:top w:val="single" w:color="auto" w:sz="4" w:space="0"/>
              <w:left w:val="single" w:color="auto" w:sz="4" w:space="0"/>
              <w:bottom w:val="single" w:color="auto" w:sz="4" w:space="0"/>
              <w:right w:val="single" w:color="auto" w:sz="4" w:space="0"/>
            </w:tcBorders>
            <w:vAlign w:val="center"/>
          </w:tcPr>
          <w:p w14:paraId="61069F23">
            <w:pPr>
              <w:pStyle w:val="11"/>
              <w:snapToGrid w:val="0"/>
              <w:spacing w:line="400" w:lineRule="exact"/>
              <w:rPr>
                <w:rFonts w:hint="eastAsia" w:hAnsi="宋体" w:cs="宋体"/>
              </w:rPr>
            </w:pPr>
            <w:r>
              <w:rPr>
                <w:rFonts w:hint="eastAsia" w:hAnsi="宋体" w:cs="宋体"/>
              </w:rPr>
              <w:t>1.国家强制性技术标准及有关规定；</w:t>
            </w:r>
          </w:p>
          <w:p w14:paraId="5613FB8C">
            <w:pPr>
              <w:pStyle w:val="11"/>
              <w:snapToGrid w:val="0"/>
              <w:spacing w:line="400" w:lineRule="exact"/>
              <w:rPr>
                <w:rFonts w:hint="eastAsia" w:hAnsi="宋体" w:cs="宋体"/>
              </w:rPr>
            </w:pPr>
            <w:r>
              <w:rPr>
                <w:rFonts w:hint="eastAsia" w:hAnsi="宋体" w:cs="宋体"/>
              </w:rPr>
              <w:t>2.交货验收时，采购人根据《广西壮族自治区政府采购项目履约验收管理办法》的规定，由采购人及中标人双方共同进行验收。必要时可委托国家认可的质量检测机构开展采购项目验收工作；</w:t>
            </w:r>
          </w:p>
          <w:p w14:paraId="57A61109">
            <w:pPr>
              <w:pStyle w:val="11"/>
              <w:snapToGrid w:val="0"/>
              <w:spacing w:line="400" w:lineRule="exact"/>
              <w:rPr>
                <w:rFonts w:hint="eastAsia" w:hAnsi="宋体" w:cs="宋体"/>
              </w:rPr>
            </w:pPr>
            <w:r>
              <w:rPr>
                <w:rFonts w:hint="eastAsia" w:hAnsi="宋体" w:cs="宋体"/>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p>
          <w:p w14:paraId="18E864AF">
            <w:pPr>
              <w:pStyle w:val="11"/>
              <w:snapToGrid w:val="0"/>
              <w:spacing w:line="400" w:lineRule="exact"/>
              <w:rPr>
                <w:rFonts w:hint="eastAsia" w:hAnsi="宋体" w:cs="宋体"/>
                <w:bCs/>
              </w:rPr>
            </w:pPr>
            <w:r>
              <w:rPr>
                <w:rFonts w:hint="eastAsia" w:hAnsi="宋体" w:cs="宋体"/>
              </w:rPr>
              <w:t>4.验收费用：验收所产生的检验费及相关的全部费用均由中标人承担。</w:t>
            </w:r>
          </w:p>
        </w:tc>
      </w:tr>
      <w:tr w14:paraId="2E10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7AE7EA2F">
            <w:pPr>
              <w:pStyle w:val="11"/>
              <w:snapToGrid w:val="0"/>
              <w:spacing w:line="400" w:lineRule="exact"/>
              <w:rPr>
                <w:rFonts w:hint="eastAsia" w:hAnsi="宋体" w:cs="宋体"/>
                <w:b/>
                <w:bCs/>
              </w:rPr>
            </w:pPr>
            <w:r>
              <w:rPr>
                <w:rFonts w:hint="eastAsia" w:hAnsi="宋体" w:cs="宋体"/>
                <w:b/>
                <w:bCs/>
              </w:rPr>
              <w:t>四、资信要求</w:t>
            </w:r>
          </w:p>
        </w:tc>
      </w:tr>
      <w:tr w14:paraId="6A1C6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6" w:type="dxa"/>
            <w:tcBorders>
              <w:top w:val="single" w:color="auto" w:sz="4" w:space="0"/>
              <w:left w:val="single" w:color="auto" w:sz="4" w:space="0"/>
              <w:bottom w:val="single" w:color="auto" w:sz="4" w:space="0"/>
              <w:right w:val="single" w:color="auto" w:sz="4" w:space="0"/>
            </w:tcBorders>
            <w:vAlign w:val="center"/>
          </w:tcPr>
          <w:p w14:paraId="3A895B24">
            <w:pPr>
              <w:pStyle w:val="11"/>
              <w:snapToGrid w:val="0"/>
              <w:spacing w:line="400" w:lineRule="exact"/>
              <w:jc w:val="center"/>
              <w:rPr>
                <w:rFonts w:hint="eastAsia" w:hAnsi="宋体" w:cs="宋体"/>
                <w:bCs/>
              </w:rPr>
            </w:pPr>
            <w:r>
              <w:rPr>
                <w:rFonts w:hint="eastAsia" w:hAnsi="宋体" w:cs="宋体"/>
                <w:bCs/>
              </w:rPr>
              <w:t>政策性加分条件（如有）</w:t>
            </w:r>
          </w:p>
        </w:tc>
        <w:tc>
          <w:tcPr>
            <w:tcW w:w="7890" w:type="dxa"/>
            <w:tcBorders>
              <w:top w:val="single" w:color="auto" w:sz="4" w:space="0"/>
              <w:left w:val="single" w:color="auto" w:sz="4" w:space="0"/>
              <w:bottom w:val="single" w:color="auto" w:sz="4" w:space="0"/>
              <w:right w:val="single" w:color="auto" w:sz="4" w:space="0"/>
            </w:tcBorders>
            <w:vAlign w:val="center"/>
          </w:tcPr>
          <w:p w14:paraId="427A5017">
            <w:pPr>
              <w:pStyle w:val="11"/>
              <w:numPr>
                <w:ilvl w:val="0"/>
                <w:numId w:val="2"/>
              </w:numPr>
              <w:snapToGrid w:val="0"/>
              <w:spacing w:line="400" w:lineRule="exact"/>
              <w:rPr>
                <w:rFonts w:hint="eastAsia" w:hAnsi="宋体" w:cs="宋体"/>
              </w:rPr>
            </w:pPr>
            <w:r>
              <w:rPr>
                <w:rFonts w:hint="eastAsia" w:hAnsi="宋体" w:cs="宋体"/>
              </w:rPr>
              <w:t>根据《政府采购促进中小企业发展管理办法》（财库〔2020〕46 号）及《关于对政府采购领域扶持中小企业的政策进行调整的通知》（柳财采〔2022〕18 号）的规定，投标人在其投标文件中提供《中小企业声明函》；</w:t>
            </w:r>
          </w:p>
          <w:p w14:paraId="695F5E4A">
            <w:pPr>
              <w:spacing w:line="400" w:lineRule="exact"/>
              <w:rPr>
                <w:rFonts w:hint="eastAsia" w:ascii="宋体" w:hAnsi="宋体" w:cs="宋体"/>
                <w:b/>
                <w:bCs/>
                <w:szCs w:val="21"/>
              </w:rPr>
            </w:pPr>
            <w:r>
              <w:rPr>
                <w:rFonts w:hint="eastAsia" w:ascii="宋体" w:hAnsi="宋体" w:cs="宋体"/>
                <w:b/>
                <w:bCs/>
                <w:szCs w:val="21"/>
              </w:rPr>
              <w:t>注：（1）本项目标的对应的中小企业划分标准所属行业：</w:t>
            </w:r>
            <w:r>
              <w:rPr>
                <w:rFonts w:hint="eastAsia" w:ascii="宋体" w:hAnsi="宋体"/>
                <w:b/>
                <w:szCs w:val="21"/>
                <w:u w:val="single"/>
              </w:rPr>
              <w:t>“工业”。</w:t>
            </w:r>
          </w:p>
          <w:p w14:paraId="0AB13838">
            <w:pPr>
              <w:spacing w:line="400" w:lineRule="exact"/>
              <w:rPr>
                <w:rFonts w:hint="eastAsia" w:ascii="宋体" w:hAnsi="宋体" w:cs="宋体"/>
                <w:b/>
                <w:bCs/>
                <w:szCs w:val="21"/>
              </w:rPr>
            </w:pPr>
            <w:r>
              <w:rPr>
                <w:rFonts w:hint="eastAsia" w:ascii="宋体" w:hAnsi="宋体" w:cs="宋体"/>
                <w:b/>
                <w:bCs/>
                <w:szCs w:val="21"/>
              </w:rPr>
              <w:t>（2）中小企业划分有关标准根据工信部等部委发布的《关于印发中小企业划型标准规定的通知》（工信部联企业〔2011〕300号）确定；</w:t>
            </w:r>
          </w:p>
          <w:p w14:paraId="4BC66F12">
            <w:pPr>
              <w:spacing w:line="400" w:lineRule="exact"/>
              <w:rPr>
                <w:rFonts w:hint="eastAsia" w:ascii="宋体" w:hAnsi="宋体" w:cs="宋体"/>
                <w:b/>
                <w:bCs/>
                <w:szCs w:val="21"/>
              </w:rPr>
            </w:pPr>
            <w:r>
              <w:rPr>
                <w:rFonts w:hint="eastAsia" w:ascii="宋体" w:hAnsi="宋体" w:cs="宋体"/>
                <w:b/>
                <w:bCs/>
                <w:szCs w:val="21"/>
              </w:rPr>
              <w:t>（3）为方便投标人识别企业规模类型，投标人可使用工业和信息化部组织开发的中小企业规模类型自测小程序生成企业规模类型测试结果。</w:t>
            </w:r>
          </w:p>
          <w:p w14:paraId="169FDE42">
            <w:pPr>
              <w:spacing w:line="380" w:lineRule="exact"/>
              <w:rPr>
                <w:rFonts w:hint="eastAsia" w:ascii="宋体" w:hAnsi="宋体" w:cs="宋体"/>
                <w:b/>
                <w:bCs/>
                <w:szCs w:val="21"/>
              </w:rPr>
            </w:pPr>
            <w:r>
              <w:rPr>
                <w:rFonts w:hint="eastAsia" w:ascii="宋体" w:hAnsi="宋体" w:cs="宋体"/>
                <w:b/>
                <w:bCs/>
                <w:szCs w:val="21"/>
              </w:rPr>
              <w:t>自测小程序链接：https://sme.miit.gov.cn/baosong/appweb/orgScale.html</w:t>
            </w:r>
          </w:p>
          <w:p w14:paraId="0E1E3FDA">
            <w:pPr>
              <w:spacing w:line="38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《财政部、司法部关于政府采购支持监狱企业发展有关问题的通知》（财库〔2014〕68号）</w:t>
            </w:r>
            <w:r>
              <w:rPr>
                <w:rFonts w:hint="eastAsia" w:ascii="宋体" w:hAnsi="宋体" w:cs="宋体"/>
                <w:kern w:val="0"/>
                <w:szCs w:val="21"/>
              </w:rPr>
              <w:t>；</w:t>
            </w:r>
          </w:p>
          <w:p w14:paraId="398458AD">
            <w:pPr>
              <w:spacing w:line="380" w:lineRule="exact"/>
              <w:rPr>
                <w:rFonts w:hint="eastAsia" w:ascii="宋体" w:hAnsi="宋体" w:cs="宋体"/>
                <w:kern w:val="0"/>
                <w:szCs w:val="21"/>
              </w:rPr>
            </w:pPr>
            <w:r>
              <w:rPr>
                <w:rFonts w:hint="eastAsia" w:ascii="宋体" w:hAnsi="宋体" w:cs="宋体"/>
                <w:kern w:val="0"/>
                <w:szCs w:val="21"/>
              </w:rPr>
              <w:t>3.《财政部 民政部 中国残疾人联合会关于促进残疾人就业政府采购政策的通知》（财库〔2017〕141号）；</w:t>
            </w:r>
          </w:p>
          <w:p w14:paraId="254AAD75">
            <w:pPr>
              <w:spacing w:line="380" w:lineRule="exact"/>
              <w:rPr>
                <w:rFonts w:hint="eastAsia" w:ascii="宋体" w:hAnsi="宋体" w:cs="宋体"/>
                <w:szCs w:val="21"/>
                <w:lang w:val="zh-CN"/>
              </w:rPr>
            </w:pPr>
            <w:r>
              <w:rPr>
                <w:rFonts w:hint="eastAsia" w:ascii="宋体" w:hAnsi="宋体" w:cs="宋体"/>
                <w:szCs w:val="21"/>
              </w:rPr>
              <w:t>4.《财政部 发展改革委 生态环境部 市场监管总局</w:t>
            </w:r>
            <w:r>
              <w:rPr>
                <w:rFonts w:hint="eastAsia" w:ascii="宋体" w:hAnsi="宋体" w:cs="宋体"/>
                <w:szCs w:val="21"/>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3CED155B">
            <w:pPr>
              <w:spacing w:line="380" w:lineRule="exact"/>
              <w:rPr>
                <w:rFonts w:hint="eastAsia" w:ascii="宋体" w:hAnsi="宋体" w:cs="宋体"/>
                <w:szCs w:val="21"/>
              </w:rPr>
            </w:pPr>
            <w:r>
              <w:rPr>
                <w:rFonts w:hint="eastAsia" w:ascii="宋体" w:hAnsi="宋体" w:cs="宋体"/>
                <w:szCs w:val="21"/>
              </w:rPr>
              <w:t>5.财政部 生态环境部《关于印发环境标志产品政府采购品目清单的通知》（财库〔2019〕18号）；</w:t>
            </w:r>
          </w:p>
          <w:p w14:paraId="6E591235">
            <w:pPr>
              <w:spacing w:line="380" w:lineRule="exact"/>
              <w:rPr>
                <w:rFonts w:hint="eastAsia" w:ascii="宋体" w:hAnsi="宋体" w:cs="宋体"/>
                <w:szCs w:val="21"/>
              </w:rPr>
            </w:pPr>
            <w:r>
              <w:rPr>
                <w:rFonts w:hint="eastAsia" w:ascii="宋体" w:hAnsi="宋体" w:cs="宋体"/>
                <w:szCs w:val="21"/>
              </w:rPr>
              <w:t>6.财政部 发展改革委《关于印发节能产品政府采购品目清单的通知》（财库〔2019〕19号）。</w:t>
            </w:r>
          </w:p>
        </w:tc>
      </w:tr>
      <w:tr w14:paraId="37EC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5E914DAA">
            <w:pPr>
              <w:pStyle w:val="11"/>
              <w:snapToGrid w:val="0"/>
              <w:spacing w:line="400" w:lineRule="exact"/>
              <w:jc w:val="center"/>
              <w:rPr>
                <w:rFonts w:hint="eastAsia" w:hAnsi="宋体" w:cs="宋体"/>
                <w:bCs/>
              </w:rPr>
            </w:pPr>
            <w:r>
              <w:rPr>
                <w:rFonts w:hint="eastAsia" w:hAnsi="宋体" w:cs="宋体"/>
                <w:bCs/>
              </w:rPr>
              <w:t>质量管理、企业信用要求（如有）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075D6135">
            <w:pPr>
              <w:spacing w:line="400" w:lineRule="exact"/>
              <w:rPr>
                <w:rFonts w:hint="eastAsia" w:ascii="宋体" w:hAnsi="宋体" w:cs="宋体"/>
                <w:szCs w:val="21"/>
              </w:rPr>
            </w:pPr>
            <w:r>
              <w:rPr>
                <w:rFonts w:hint="eastAsia" w:ascii="宋体" w:hAnsi="宋体" w:cs="宋体"/>
                <w:szCs w:val="21"/>
              </w:rPr>
              <w:t xml:space="preserve">1.投标人或其投标产品生产厂家具备有效的质量管理体系认证证书； </w:t>
            </w:r>
          </w:p>
          <w:p w14:paraId="2466D7B1">
            <w:pPr>
              <w:spacing w:line="400" w:lineRule="exact"/>
              <w:rPr>
                <w:rFonts w:hint="eastAsia" w:ascii="宋体" w:hAnsi="宋体" w:cs="宋体"/>
                <w:szCs w:val="21"/>
              </w:rPr>
            </w:pPr>
            <w:r>
              <w:rPr>
                <w:rFonts w:hint="eastAsia" w:ascii="宋体" w:hAnsi="宋体" w:cs="宋体"/>
                <w:szCs w:val="21"/>
              </w:rPr>
              <w:t>2.投标人</w:t>
            </w:r>
            <w:r>
              <w:rPr>
                <w:rFonts w:hint="eastAsia"/>
              </w:rPr>
              <w:t>或其投标产品生产厂家</w:t>
            </w:r>
            <w:r>
              <w:rPr>
                <w:rFonts w:hint="eastAsia" w:ascii="宋体" w:hAnsi="宋体" w:cs="宋体"/>
                <w:szCs w:val="21"/>
              </w:rPr>
              <w:t xml:space="preserve">具备有效的环境管理体系认证证书； </w:t>
            </w:r>
          </w:p>
          <w:p w14:paraId="186D65F0">
            <w:pPr>
              <w:spacing w:line="400" w:lineRule="exact"/>
              <w:rPr>
                <w:rFonts w:hint="eastAsia" w:ascii="宋体" w:hAnsi="宋体" w:cs="宋体"/>
                <w:bCs/>
                <w:kern w:val="0"/>
                <w:szCs w:val="21"/>
              </w:rPr>
            </w:pPr>
            <w:r>
              <w:rPr>
                <w:rFonts w:hint="eastAsia" w:ascii="宋体" w:hAnsi="宋体" w:cs="宋体"/>
                <w:szCs w:val="21"/>
              </w:rPr>
              <w:t>3.投标人</w:t>
            </w:r>
            <w:r>
              <w:rPr>
                <w:rFonts w:hint="eastAsia"/>
              </w:rPr>
              <w:t>或其投标产品生产厂家</w:t>
            </w:r>
            <w:r>
              <w:rPr>
                <w:rFonts w:hint="eastAsia" w:ascii="宋体" w:hAnsi="宋体" w:cs="宋体"/>
                <w:szCs w:val="21"/>
              </w:rPr>
              <w:t xml:space="preserve">具备有效的职业健康管理体系认证。  </w:t>
            </w:r>
          </w:p>
        </w:tc>
      </w:tr>
      <w:tr w14:paraId="20F33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06" w:type="dxa"/>
            <w:tcBorders>
              <w:top w:val="single" w:color="auto" w:sz="4" w:space="0"/>
              <w:left w:val="single" w:color="auto" w:sz="4" w:space="0"/>
              <w:bottom w:val="single" w:color="auto" w:sz="4" w:space="0"/>
              <w:right w:val="single" w:color="auto" w:sz="4" w:space="0"/>
            </w:tcBorders>
            <w:vAlign w:val="center"/>
          </w:tcPr>
          <w:p w14:paraId="03B8C116">
            <w:pPr>
              <w:pStyle w:val="11"/>
              <w:snapToGrid w:val="0"/>
              <w:spacing w:line="400" w:lineRule="exact"/>
              <w:jc w:val="center"/>
              <w:rPr>
                <w:rFonts w:hint="eastAsia" w:hAnsi="宋体" w:cs="宋体"/>
                <w:bCs/>
              </w:rPr>
            </w:pPr>
            <w:r>
              <w:rPr>
                <w:rFonts w:hint="eastAsia" w:hAnsi="宋体" w:cs="宋体"/>
                <w:bCs/>
              </w:rPr>
              <w:t>能力或业绩要求（如有）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61D419EB">
            <w:pPr>
              <w:pStyle w:val="11"/>
              <w:snapToGrid w:val="0"/>
              <w:spacing w:line="400" w:lineRule="exact"/>
              <w:rPr>
                <w:rFonts w:hint="eastAsia" w:hAnsi="宋体" w:cs="宋体"/>
                <w:bCs/>
              </w:rPr>
            </w:pPr>
            <w:r>
              <w:rPr>
                <w:rFonts w:hint="eastAsia" w:ascii="Arial" w:hAnsi="Arial" w:cs="Arial"/>
              </w:rPr>
              <w:t>投标人2021</w:t>
            </w:r>
            <w:r>
              <w:rPr>
                <w:rFonts w:ascii="Arial" w:hAnsi="Arial" w:cs="Arial"/>
              </w:rPr>
              <w:t>年</w:t>
            </w:r>
            <w:r>
              <w:rPr>
                <w:rFonts w:hint="eastAsia" w:ascii="Arial" w:hAnsi="Arial" w:cs="Arial"/>
              </w:rPr>
              <w:t>6</w:t>
            </w:r>
            <w:r>
              <w:rPr>
                <w:rFonts w:ascii="Arial" w:hAnsi="Arial" w:cs="Arial"/>
              </w:rPr>
              <w:t>月1日以来完成的类似项目业绩。</w:t>
            </w:r>
          </w:p>
        </w:tc>
      </w:tr>
    </w:tbl>
    <w:p w14:paraId="7444CB93">
      <w:pPr>
        <w:sectPr>
          <w:pgSz w:w="11906" w:h="16838"/>
          <w:pgMar w:top="1440" w:right="1440" w:bottom="1440" w:left="1440" w:header="851" w:footer="992" w:gutter="0"/>
          <w:cols w:space="720" w:num="1"/>
          <w:docGrid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995"/>
        <w:gridCol w:w="763"/>
        <w:gridCol w:w="7046"/>
      </w:tblGrid>
      <w:tr w14:paraId="7F97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12" w:type="dxa"/>
            <w:gridSpan w:val="4"/>
            <w:vAlign w:val="center"/>
          </w:tcPr>
          <w:p w14:paraId="1C54E30D">
            <w:pPr>
              <w:widowControl/>
              <w:jc w:val="center"/>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2分标技术参数要求</w:t>
            </w:r>
          </w:p>
        </w:tc>
      </w:tr>
      <w:tr w14:paraId="2241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12" w:type="dxa"/>
            <w:gridSpan w:val="4"/>
            <w:vAlign w:val="center"/>
          </w:tcPr>
          <w:p w14:paraId="679D8D47">
            <w:pPr>
              <w:widowControl/>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2分标核心产品：项号33：外科手术技能训练标准化病人</w:t>
            </w:r>
          </w:p>
        </w:tc>
      </w:tr>
      <w:tr w14:paraId="657B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Align w:val="center"/>
          </w:tcPr>
          <w:p w14:paraId="510A93DD">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项号</w:t>
            </w:r>
          </w:p>
        </w:tc>
        <w:tc>
          <w:tcPr>
            <w:tcW w:w="996" w:type="dxa"/>
            <w:tcBorders>
              <w:bottom w:val="single" w:color="auto" w:sz="4" w:space="0"/>
              <w:right w:val="single" w:color="auto" w:sz="4" w:space="0"/>
            </w:tcBorders>
            <w:vAlign w:val="center"/>
          </w:tcPr>
          <w:p w14:paraId="1DD766C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货物名称</w:t>
            </w:r>
          </w:p>
        </w:tc>
        <w:tc>
          <w:tcPr>
            <w:tcW w:w="773" w:type="dxa"/>
            <w:tcBorders>
              <w:left w:val="single" w:color="auto" w:sz="4" w:space="0"/>
              <w:bottom w:val="single" w:color="auto" w:sz="4" w:space="0"/>
              <w:right w:val="single" w:color="auto" w:sz="4" w:space="0"/>
            </w:tcBorders>
            <w:vAlign w:val="center"/>
          </w:tcPr>
          <w:p w14:paraId="6B8E531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数量</w:t>
            </w:r>
          </w:p>
        </w:tc>
        <w:tc>
          <w:tcPr>
            <w:tcW w:w="7201" w:type="dxa"/>
            <w:tcBorders>
              <w:left w:val="single" w:color="auto" w:sz="4" w:space="0"/>
              <w:bottom w:val="single" w:color="auto" w:sz="4" w:space="0"/>
            </w:tcBorders>
            <w:vAlign w:val="center"/>
          </w:tcPr>
          <w:p w14:paraId="4E170DD9">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技术参数要求</w:t>
            </w:r>
          </w:p>
        </w:tc>
      </w:tr>
      <w:tr w14:paraId="726E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438" w:type="dxa"/>
            <w:vAlign w:val="center"/>
          </w:tcPr>
          <w:p w14:paraId="3C87875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65F97FA">
            <w:pPr>
              <w:widowControl/>
              <w:jc w:val="left"/>
              <w:rPr>
                <w:rFonts w:hint="eastAsia" w:ascii="宋体" w:hAnsi="宋体" w:cstheme="minorEastAsia"/>
                <w:kern w:val="0"/>
                <w:szCs w:val="21"/>
                <w:lang w:bidi="ar"/>
              </w:rPr>
            </w:pPr>
            <w:r>
              <w:rPr>
                <w:rFonts w:ascii="宋体" w:hAnsi="宋体" w:cs="Calibri"/>
                <w:kern w:val="0"/>
                <w:szCs w:val="21"/>
              </w:rPr>
              <w:t>成人气管插管模</w:t>
            </w:r>
            <w:r>
              <w:rPr>
                <w:rFonts w:hint="eastAsia" w:ascii="宋体" w:hAnsi="宋体" w:cs="宋体"/>
                <w:kern w:val="0"/>
                <w:szCs w:val="21"/>
              </w:rPr>
              <w:t>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C563255">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61D5988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成年男性，形态逼真，包括头、颈、胸部、真实大小的双肺以及胃，解剖标志明显。</w:t>
            </w:r>
          </w:p>
          <w:p w14:paraId="5A4A69D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2.采用高分子材质，环保无污染，肤质仿真度高。仰卧位，头可后仰。颈动脉可自主搏动，可进行经口、鼻气管插管操作并配置电子监测系统。</w:t>
            </w:r>
          </w:p>
          <w:p w14:paraId="73CAFFF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插入气道供气可使双肺膨胀，且有语音提示。</w:t>
            </w:r>
          </w:p>
          <w:p w14:paraId="4DC9D28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插入食管供气可使胃膨胀，且有语音提示。</w:t>
            </w:r>
          </w:p>
          <w:p w14:paraId="529DBF2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 喉镜压迫牙齿力度过大时，有语音提示。</w:t>
            </w:r>
          </w:p>
          <w:p w14:paraId="08BA6980">
            <w:pPr>
              <w:widowControl/>
              <w:jc w:val="left"/>
              <w:rPr>
                <w:rFonts w:hint="eastAsia" w:ascii="宋体" w:hAnsi="宋体" w:cstheme="minorEastAsia"/>
                <w:kern w:val="0"/>
                <w:szCs w:val="21"/>
                <w:lang w:bidi="ar"/>
              </w:rPr>
            </w:pPr>
            <w:r>
              <w:rPr>
                <w:rFonts w:hint="eastAsia" w:ascii="宋体" w:hAnsi="宋体" w:cs="宋体"/>
                <w:kern w:val="0"/>
                <w:szCs w:val="21"/>
                <w:lang w:bidi="ar"/>
              </w:rPr>
              <w:t>6. 瞳孔示教：一侧瞳孔正常，一侧瞳孔散大。</w:t>
            </w:r>
          </w:p>
        </w:tc>
      </w:tr>
      <w:tr w14:paraId="1BE9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9" w:hRule="atLeast"/>
        </w:trPr>
        <w:tc>
          <w:tcPr>
            <w:tcW w:w="438" w:type="dxa"/>
            <w:vAlign w:val="center"/>
          </w:tcPr>
          <w:p w14:paraId="021FB5B8">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58B1483">
            <w:pPr>
              <w:widowControl/>
              <w:jc w:val="left"/>
              <w:rPr>
                <w:rFonts w:hint="eastAsia" w:ascii="宋体" w:hAnsi="宋体" w:cstheme="minorEastAsia"/>
                <w:kern w:val="0"/>
                <w:szCs w:val="21"/>
                <w:lang w:bidi="ar"/>
              </w:rPr>
            </w:pPr>
            <w:r>
              <w:rPr>
                <w:rFonts w:ascii="宋体" w:hAnsi="宋体" w:cs="Calibri"/>
                <w:kern w:val="0"/>
                <w:szCs w:val="21"/>
              </w:rPr>
              <w:t>AED</w:t>
            </w:r>
            <w:r>
              <w:rPr>
                <w:rFonts w:hint="eastAsia" w:ascii="宋体" w:hAnsi="宋体" w:cs="宋体"/>
                <w:kern w:val="0"/>
                <w:szCs w:val="21"/>
              </w:rPr>
              <w:t>训练机</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39E8FB4">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44FBBA0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1.训练机仿制真正的AED，包括主机、电极片、显示窗口及配件的外型、尺寸、包装、操作方法与真正的AED一致。支持两种供电方式，普通电池或专用可充电电池，配备充电器。</w:t>
            </w:r>
          </w:p>
          <w:p w14:paraId="081C0C3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可与CPR人体模型系列配合使用。</w:t>
            </w:r>
          </w:p>
          <w:p w14:paraId="370C540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3.情景模拟能力强，可以真实模拟自动体外除颤器的各种场景。</w:t>
            </w:r>
          </w:p>
          <w:p w14:paraId="6F0021B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配备遥控器，方便选择各种模式和调节功能，可以模仿多种急救情况和急救过程，全程语音提示指导。</w:t>
            </w:r>
          </w:p>
          <w:p w14:paraId="7319C0B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 训练机本身没有电流输出，但可以模拟真正AED的各项操作。</w:t>
            </w:r>
          </w:p>
          <w:p w14:paraId="3E0333E0">
            <w:pPr>
              <w:widowControl/>
              <w:jc w:val="left"/>
              <w:rPr>
                <w:rFonts w:hint="eastAsia" w:ascii="宋体" w:hAnsi="宋体" w:cstheme="minorEastAsia"/>
                <w:kern w:val="0"/>
                <w:szCs w:val="21"/>
                <w:lang w:bidi="ar"/>
              </w:rPr>
            </w:pPr>
            <w:r>
              <w:rPr>
                <w:rFonts w:hint="eastAsia" w:ascii="宋体" w:hAnsi="宋体" w:cs="宋体"/>
                <w:kern w:val="0"/>
                <w:szCs w:val="21"/>
                <w:lang w:bidi="ar"/>
              </w:rPr>
              <w:t>6. 内部有心电图设置，不需要外接除颤模拟器，方便培训过程。</w:t>
            </w:r>
          </w:p>
        </w:tc>
      </w:tr>
      <w:tr w14:paraId="4277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7A4B6AA6">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A475060">
            <w:pPr>
              <w:widowControl/>
              <w:jc w:val="left"/>
              <w:rPr>
                <w:rFonts w:hint="eastAsia" w:ascii="宋体" w:hAnsi="宋体" w:cstheme="minorEastAsia"/>
                <w:kern w:val="0"/>
                <w:szCs w:val="21"/>
                <w:lang w:bidi="ar"/>
              </w:rPr>
            </w:pPr>
            <w:r>
              <w:rPr>
                <w:rFonts w:hint="eastAsia" w:ascii="宋体" w:hAnsi="宋体" w:cs="宋体"/>
                <w:kern w:val="0"/>
                <w:szCs w:val="21"/>
              </w:rPr>
              <w:t>海姆立克急救法训练器</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5CE34645">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vAlign w:val="center"/>
          </w:tcPr>
          <w:p w14:paraId="160BA54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穿戴式设计，可根据不同体型的成人进行调节，背心的长短和大小可以自由调整。</w:t>
            </w:r>
          </w:p>
          <w:p w14:paraId="57D050F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背心具有可压缩的腹部，并在靠近佩戴者方向有硬质保护板。</w:t>
            </w:r>
          </w:p>
          <w:p w14:paraId="6DBEC1B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背心内部具有模拟的气道和模拟梗塞物，当操作正确时，可以排出梗塞物。</w:t>
            </w:r>
          </w:p>
          <w:p w14:paraId="4A1B375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背心表面有明显的脐、模拟气管、模拟肺等解剖结构标志和操作手法提示标志。</w:t>
            </w:r>
          </w:p>
          <w:p w14:paraId="1127E48C">
            <w:pPr>
              <w:widowControl/>
              <w:jc w:val="left"/>
              <w:rPr>
                <w:rFonts w:hint="eastAsia" w:ascii="宋体" w:hAnsi="宋体" w:cstheme="minorEastAsia"/>
                <w:kern w:val="0"/>
                <w:szCs w:val="21"/>
                <w:lang w:bidi="ar"/>
              </w:rPr>
            </w:pPr>
            <w:r>
              <w:rPr>
                <w:rFonts w:hint="eastAsia" w:ascii="宋体" w:hAnsi="宋体" w:cs="宋体"/>
                <w:kern w:val="0"/>
                <w:szCs w:val="21"/>
                <w:lang w:bidi="ar"/>
              </w:rPr>
              <w:t>5. 使用此训练器，可以进行站立、坐下、在地面上或使用椅子进行室息自救训练。</w:t>
            </w:r>
          </w:p>
        </w:tc>
      </w:tr>
      <w:tr w14:paraId="668F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38" w:type="dxa"/>
            <w:vAlign w:val="center"/>
          </w:tcPr>
          <w:p w14:paraId="7EC443EB">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A6E891A">
            <w:pPr>
              <w:widowControl/>
              <w:jc w:val="left"/>
              <w:rPr>
                <w:rFonts w:hint="eastAsia" w:ascii="宋体" w:hAnsi="宋体" w:cstheme="minorEastAsia"/>
                <w:kern w:val="0"/>
                <w:szCs w:val="21"/>
                <w:lang w:bidi="ar"/>
              </w:rPr>
            </w:pPr>
            <w:r>
              <w:rPr>
                <w:rFonts w:ascii="宋体" w:hAnsi="宋体" w:cs="Calibri"/>
                <w:kern w:val="0"/>
                <w:szCs w:val="21"/>
              </w:rPr>
              <w:t>CPR</w:t>
            </w:r>
            <w:r>
              <w:rPr>
                <w:rFonts w:hint="eastAsia" w:ascii="宋体" w:hAnsi="宋体" w:cs="宋体"/>
                <w:kern w:val="0"/>
                <w:szCs w:val="21"/>
              </w:rPr>
              <w:t>按压板</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D8E98AB">
            <w:pPr>
              <w:widowControl/>
              <w:jc w:val="left"/>
              <w:rPr>
                <w:rFonts w:hint="eastAsia" w:ascii="宋体" w:hAnsi="宋体" w:cstheme="minorEastAsia"/>
                <w:kern w:val="0"/>
                <w:szCs w:val="21"/>
                <w:lang w:bidi="ar"/>
              </w:rPr>
            </w:pPr>
            <w:r>
              <w:rPr>
                <w:rFonts w:ascii="宋体" w:hAnsi="宋体" w:cs="Calibri"/>
                <w:kern w:val="0"/>
                <w:szCs w:val="21"/>
              </w:rPr>
              <w:t>6</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3283930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1.采用高密度聚乙烯塑料制成，表面坚固，一端压低成杯状。</w:t>
            </w:r>
          </w:p>
          <w:p w14:paraId="7CABD172">
            <w:pPr>
              <w:widowControl/>
              <w:jc w:val="left"/>
              <w:rPr>
                <w:rFonts w:hint="eastAsia" w:ascii="宋体" w:hAnsi="宋体" w:cstheme="minorEastAsia"/>
                <w:kern w:val="0"/>
                <w:szCs w:val="21"/>
                <w:lang w:bidi="ar"/>
              </w:rPr>
            </w:pPr>
            <w:r>
              <w:rPr>
                <w:rFonts w:hint="eastAsia" w:ascii="宋体" w:hAnsi="宋体" w:cs="宋体"/>
                <w:kern w:val="0"/>
                <w:szCs w:val="21"/>
                <w:lang w:bidi="ar"/>
              </w:rPr>
              <w:t>2.按压板表面覆盖有织纹，防止病人滑动，确保按压的稳定性。正面还描有等高线。</w:t>
            </w:r>
          </w:p>
        </w:tc>
      </w:tr>
      <w:tr w14:paraId="66BA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196C81A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2B71F23">
            <w:pPr>
              <w:widowControl/>
              <w:jc w:val="left"/>
              <w:rPr>
                <w:rFonts w:hint="eastAsia" w:ascii="宋体" w:hAnsi="宋体" w:cstheme="minorEastAsia"/>
                <w:kern w:val="0"/>
                <w:szCs w:val="21"/>
                <w:lang w:bidi="ar"/>
              </w:rPr>
            </w:pPr>
            <w:r>
              <w:rPr>
                <w:rFonts w:hint="eastAsia" w:ascii="宋体" w:hAnsi="宋体" w:cs="宋体"/>
                <w:kern w:val="0"/>
                <w:szCs w:val="21"/>
              </w:rPr>
              <w:t>脊柱板</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6326D62">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079B498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1.具有100%射线穿透性，可进行X线、CT断层扫描和核磁共振断层扫描检查，保证图像清晰度。</w:t>
            </w:r>
          </w:p>
          <w:p w14:paraId="6B61974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固定板采用硬质结构，可以承受200kg以上的重量。</w:t>
            </w:r>
          </w:p>
          <w:p w14:paraId="19F5CF6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设计合理，把手与地面之间留有足够的空间。</w:t>
            </w:r>
          </w:p>
          <w:p w14:paraId="0622238C">
            <w:pPr>
              <w:widowControl/>
              <w:jc w:val="left"/>
              <w:rPr>
                <w:rFonts w:hint="eastAsia" w:ascii="宋体" w:hAnsi="宋体" w:cstheme="minorEastAsia"/>
                <w:kern w:val="0"/>
                <w:szCs w:val="21"/>
                <w:lang w:bidi="ar"/>
              </w:rPr>
            </w:pPr>
            <w:r>
              <w:rPr>
                <w:rFonts w:hint="eastAsia" w:ascii="宋体" w:hAnsi="宋体" w:cs="宋体"/>
                <w:kern w:val="0"/>
                <w:szCs w:val="21"/>
                <w:lang w:bidi="ar"/>
              </w:rPr>
              <w:t>4. 固定板可以浮于水面，具备水面救生功能。</w:t>
            </w:r>
          </w:p>
        </w:tc>
      </w:tr>
      <w:tr w14:paraId="446F4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vAlign w:val="center"/>
          </w:tcPr>
          <w:p w14:paraId="16391827">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76048D1">
            <w:pPr>
              <w:widowControl/>
              <w:jc w:val="left"/>
              <w:rPr>
                <w:rFonts w:hint="eastAsia" w:ascii="宋体" w:hAnsi="宋体" w:cstheme="minorEastAsia"/>
                <w:kern w:val="0"/>
                <w:szCs w:val="21"/>
                <w:lang w:bidi="ar"/>
              </w:rPr>
            </w:pPr>
            <w:r>
              <w:rPr>
                <w:rFonts w:hint="eastAsia" w:ascii="宋体" w:hAnsi="宋体" w:cs="宋体"/>
                <w:kern w:val="0"/>
                <w:szCs w:val="21"/>
              </w:rPr>
              <w:t>成人静脉注射手臂模型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3D639B1">
            <w:pPr>
              <w:widowControl/>
              <w:jc w:val="left"/>
              <w:rPr>
                <w:rFonts w:hint="eastAsia" w:ascii="宋体" w:hAnsi="宋体" w:cstheme="minorEastAsia"/>
                <w:kern w:val="0"/>
                <w:szCs w:val="21"/>
                <w:lang w:bidi="ar"/>
              </w:rPr>
            </w:pPr>
            <w:r>
              <w:rPr>
                <w:rFonts w:ascii="宋体" w:hAnsi="宋体" w:cs="Calibri"/>
                <w:kern w:val="0"/>
                <w:szCs w:val="21"/>
              </w:rPr>
              <w:t>10</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3C7004E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模型肤质仿真度高，皮肤纹理清晰。</w:t>
            </w:r>
          </w:p>
          <w:p w14:paraId="307813D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模型手臂上分布着主要的静脉血管系统，可进行静脉注射、输液、抽血等穿刺训练操作</w:t>
            </w:r>
          </w:p>
          <w:p w14:paraId="099CF7D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模型的进针操作具有明显的落空感，当正确穿刺时会产生回血现象。</w:t>
            </w:r>
          </w:p>
          <w:p w14:paraId="65DDC94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静脉血管和皮肤在同一穿刺部位可以进行反复的穿刺练习。</w:t>
            </w:r>
          </w:p>
          <w:p w14:paraId="08807E05">
            <w:pPr>
              <w:widowControl/>
              <w:jc w:val="left"/>
              <w:rPr>
                <w:rFonts w:hint="eastAsia" w:ascii="宋体" w:hAnsi="宋体" w:cstheme="minorEastAsia"/>
                <w:kern w:val="0"/>
                <w:szCs w:val="21"/>
                <w:lang w:bidi="ar"/>
              </w:rPr>
            </w:pPr>
            <w:r>
              <w:rPr>
                <w:rFonts w:hint="eastAsia" w:ascii="宋体" w:hAnsi="宋体" w:cs="宋体"/>
                <w:kern w:val="0"/>
                <w:szCs w:val="21"/>
                <w:lang w:bidi="ar"/>
              </w:rPr>
              <w:t>5. 提供了肌内注射和皮下注射的训练位置，肌内注射可在三角肌部位进行，皮下注射可在三角肌下缘部位进行</w:t>
            </w:r>
          </w:p>
        </w:tc>
      </w:tr>
      <w:tr w14:paraId="6C5E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7B0F773E">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B5E710C">
            <w:pPr>
              <w:widowControl/>
              <w:jc w:val="left"/>
              <w:rPr>
                <w:rFonts w:hint="eastAsia" w:ascii="宋体" w:hAnsi="宋体" w:cstheme="minorEastAsia"/>
                <w:kern w:val="0"/>
                <w:szCs w:val="21"/>
                <w:lang w:bidi="ar"/>
              </w:rPr>
            </w:pPr>
            <w:r>
              <w:rPr>
                <w:rFonts w:hint="eastAsia" w:ascii="宋体" w:hAnsi="宋体" w:cs="宋体"/>
                <w:kern w:val="0"/>
                <w:szCs w:val="21"/>
              </w:rPr>
              <w:t>动脉注射手臂模型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123A604">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vAlign w:val="center"/>
          </w:tcPr>
          <w:p w14:paraId="1FA493F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模型肤质仿真度高，皮肤纹理清晰。</w:t>
            </w:r>
          </w:p>
          <w:p w14:paraId="07CD1A2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模型可以触摸到肱动脉和桡动脉的搏动，适用于桡动脉和肱动脉穿刺的训练操作。进针操作会有明显的落空感，当正确穿刺时会产生回血的现象。</w:t>
            </w:r>
          </w:p>
          <w:p w14:paraId="62716FE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模型的动脉血管和皮肤在同一穿刺部位可进行反复的穿刺练习。</w:t>
            </w:r>
          </w:p>
          <w:p w14:paraId="34DF0F64">
            <w:pPr>
              <w:widowControl/>
              <w:jc w:val="left"/>
              <w:rPr>
                <w:rFonts w:hint="eastAsia" w:ascii="宋体" w:hAnsi="宋体" w:cstheme="minorEastAsia"/>
                <w:kern w:val="0"/>
                <w:szCs w:val="21"/>
                <w:lang w:bidi="ar"/>
              </w:rPr>
            </w:pPr>
            <w:r>
              <w:rPr>
                <w:rFonts w:hint="eastAsia" w:ascii="宋体" w:hAnsi="宋体" w:cs="宋体"/>
                <w:kern w:val="0"/>
                <w:szCs w:val="21"/>
                <w:lang w:bidi="ar"/>
              </w:rPr>
              <w:t>4. 模型的肩关节部位可以旋转，适用于上臂肌肉注射和皮下注射的训练。</w:t>
            </w:r>
          </w:p>
        </w:tc>
      </w:tr>
      <w:tr w14:paraId="20F19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38" w:type="dxa"/>
            <w:vAlign w:val="center"/>
          </w:tcPr>
          <w:p w14:paraId="7923DD0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FE3BB32">
            <w:pPr>
              <w:widowControl/>
              <w:jc w:val="left"/>
              <w:rPr>
                <w:rFonts w:hint="eastAsia" w:ascii="宋体" w:hAnsi="宋体" w:cstheme="minorEastAsia"/>
                <w:kern w:val="0"/>
                <w:szCs w:val="21"/>
                <w:lang w:bidi="ar"/>
              </w:rPr>
            </w:pPr>
            <w:r>
              <w:rPr>
                <w:rFonts w:hint="eastAsia" w:ascii="宋体" w:hAnsi="宋体" w:cs="宋体"/>
                <w:kern w:val="0"/>
                <w:szCs w:val="21"/>
              </w:rPr>
              <w:t>上臂肌肉及皮下注射训练外套</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E916308">
            <w:pPr>
              <w:widowControl/>
              <w:jc w:val="left"/>
              <w:rPr>
                <w:rFonts w:hint="eastAsia" w:ascii="宋体" w:hAnsi="宋体" w:cstheme="minorEastAsia"/>
                <w:kern w:val="0"/>
                <w:szCs w:val="21"/>
                <w:lang w:bidi="ar"/>
              </w:rPr>
            </w:pPr>
            <w:r>
              <w:rPr>
                <w:rFonts w:ascii="宋体" w:hAnsi="宋体" w:cs="Calibri"/>
                <w:kern w:val="0"/>
                <w:szCs w:val="21"/>
              </w:rPr>
              <w:t>5</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7A90D2BD">
            <w:pPr>
              <w:widowControl/>
              <w:jc w:val="left"/>
              <w:rPr>
                <w:rFonts w:hint="eastAsia" w:ascii="宋体" w:hAnsi="宋体" w:cstheme="minorEastAsia"/>
                <w:kern w:val="0"/>
                <w:szCs w:val="21"/>
                <w:lang w:bidi="ar"/>
              </w:rPr>
            </w:pPr>
            <w:r>
              <w:rPr>
                <w:rFonts w:hint="eastAsia" w:ascii="宋体" w:hAnsi="宋体" w:cs="宋体"/>
                <w:kern w:val="0"/>
                <w:szCs w:val="21"/>
                <w:lang w:bidi="ar"/>
              </w:rPr>
              <w:t>1.模型可佩带在学员或者模型人上臂</w:t>
            </w:r>
            <w:r>
              <w:rPr>
                <w:rFonts w:hint="eastAsia" w:ascii="宋体" w:hAnsi="宋体" w:cs="宋体"/>
                <w:kern w:val="0"/>
                <w:szCs w:val="21"/>
                <w:lang w:bidi="ar"/>
              </w:rPr>
              <w:br w:type="textWrapping"/>
            </w:r>
            <w:r>
              <w:rPr>
                <w:rFonts w:hint="eastAsia" w:ascii="宋体" w:hAnsi="宋体" w:cs="宋体"/>
                <w:kern w:val="0"/>
                <w:szCs w:val="21"/>
                <w:lang w:bidi="ar"/>
              </w:rPr>
              <w:t>2.解剖标志明显，可触及肩峰，便于操作定位</w:t>
            </w:r>
            <w:r>
              <w:rPr>
                <w:rFonts w:hint="eastAsia" w:ascii="宋体" w:hAnsi="宋体" w:cs="宋体"/>
                <w:kern w:val="0"/>
                <w:szCs w:val="21"/>
                <w:lang w:bidi="ar"/>
              </w:rPr>
              <w:br w:type="textWrapping"/>
            </w:r>
            <w:r>
              <w:rPr>
                <w:rFonts w:hint="eastAsia" w:ascii="宋体" w:hAnsi="宋体" w:cs="宋体"/>
                <w:kern w:val="0"/>
                <w:szCs w:val="21"/>
                <w:lang w:bidi="ar"/>
              </w:rPr>
              <w:t>3.电子监测系统，可监测注射部位以及进针深度，分别用有带颜色的灯以及声音进行报警、提示</w:t>
            </w:r>
            <w:r>
              <w:rPr>
                <w:rFonts w:hint="eastAsia" w:ascii="宋体" w:hAnsi="宋体" w:cs="宋体"/>
                <w:kern w:val="0"/>
                <w:szCs w:val="21"/>
                <w:lang w:bidi="ar"/>
              </w:rPr>
              <w:br w:type="textWrapping"/>
            </w:r>
            <w:r>
              <w:rPr>
                <w:rFonts w:hint="eastAsia" w:ascii="宋体" w:hAnsi="宋体" w:cs="宋体"/>
                <w:kern w:val="0"/>
                <w:szCs w:val="21"/>
                <w:lang w:bidi="ar"/>
              </w:rPr>
              <w:t>4.上臂肌内注射，允许注入模拟药液，药液可方便的排出</w:t>
            </w:r>
            <w:r>
              <w:rPr>
                <w:rFonts w:hint="eastAsia" w:ascii="宋体" w:hAnsi="宋体" w:cs="宋体"/>
                <w:kern w:val="0"/>
                <w:szCs w:val="21"/>
                <w:lang w:bidi="ar"/>
              </w:rPr>
              <w:br w:type="textWrapping"/>
            </w:r>
            <w:r>
              <w:rPr>
                <w:rFonts w:hint="eastAsia" w:ascii="宋体" w:hAnsi="宋体" w:cs="宋体"/>
                <w:kern w:val="0"/>
                <w:szCs w:val="21"/>
                <w:lang w:bidi="ar"/>
              </w:rPr>
              <w:t>5.支持皮下注射</w:t>
            </w:r>
            <w:r>
              <w:rPr>
                <w:rFonts w:hint="eastAsia" w:ascii="宋体" w:hAnsi="宋体" w:cs="宋体"/>
                <w:kern w:val="0"/>
                <w:szCs w:val="21"/>
                <w:lang w:bidi="ar"/>
              </w:rPr>
              <w:br w:type="textWrapping"/>
            </w:r>
            <w:r>
              <w:rPr>
                <w:rFonts w:hint="eastAsia" w:ascii="宋体" w:hAnsi="宋体" w:cs="宋体"/>
                <w:kern w:val="0"/>
                <w:szCs w:val="21"/>
                <w:lang w:bidi="ar"/>
              </w:rPr>
              <w:t>6.可以使用不同规格的注射器穿刺，设有安全防护设置，防止练习时被扎伤</w:t>
            </w:r>
            <w:r>
              <w:rPr>
                <w:rFonts w:hint="eastAsia" w:ascii="宋体" w:hAnsi="宋体" w:cs="宋体"/>
                <w:kern w:val="0"/>
                <w:szCs w:val="21"/>
                <w:lang w:bidi="ar"/>
              </w:rPr>
              <w:br w:type="textWrapping"/>
            </w:r>
            <w:r>
              <w:rPr>
                <w:rFonts w:hint="eastAsia" w:ascii="宋体" w:hAnsi="宋体" w:cs="宋体"/>
                <w:kern w:val="0"/>
                <w:szCs w:val="21"/>
                <w:lang w:bidi="ar"/>
              </w:rPr>
              <w:t>7.可反复进行练习</w:t>
            </w:r>
          </w:p>
        </w:tc>
      </w:tr>
      <w:tr w14:paraId="0ACC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38" w:type="dxa"/>
            <w:vAlign w:val="center"/>
          </w:tcPr>
          <w:p w14:paraId="7012FC58">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367A1B9">
            <w:pPr>
              <w:widowControl/>
              <w:jc w:val="left"/>
              <w:rPr>
                <w:rFonts w:hint="eastAsia" w:ascii="宋体" w:hAnsi="宋体" w:cstheme="minorEastAsia"/>
                <w:kern w:val="0"/>
                <w:szCs w:val="21"/>
                <w:lang w:bidi="ar"/>
              </w:rPr>
            </w:pPr>
            <w:r>
              <w:rPr>
                <w:rFonts w:hint="eastAsia" w:ascii="宋体" w:hAnsi="宋体" w:cs="宋体"/>
                <w:kern w:val="0"/>
                <w:szCs w:val="21"/>
              </w:rPr>
              <w:t>皮内注射外套（带手）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59B40375">
            <w:pPr>
              <w:widowControl/>
              <w:jc w:val="left"/>
              <w:rPr>
                <w:rFonts w:hint="eastAsia" w:ascii="宋体" w:hAnsi="宋体" w:cstheme="minorEastAsia"/>
                <w:kern w:val="0"/>
                <w:szCs w:val="21"/>
                <w:lang w:bidi="ar"/>
              </w:rPr>
            </w:pPr>
            <w:r>
              <w:rPr>
                <w:rFonts w:ascii="宋体" w:hAnsi="宋体" w:cs="Calibri"/>
                <w:kern w:val="0"/>
                <w:szCs w:val="21"/>
              </w:rPr>
              <w:t>5</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69F583C1">
            <w:pPr>
              <w:widowControl/>
              <w:jc w:val="left"/>
              <w:rPr>
                <w:rFonts w:hint="eastAsia" w:ascii="宋体" w:hAnsi="宋体" w:cstheme="minorEastAsia"/>
                <w:kern w:val="0"/>
                <w:szCs w:val="21"/>
                <w:lang w:bidi="ar"/>
              </w:rPr>
            </w:pPr>
            <w:r>
              <w:rPr>
                <w:rFonts w:hint="eastAsia" w:ascii="宋体" w:hAnsi="宋体" w:cs="宋体"/>
                <w:kern w:val="0"/>
                <w:szCs w:val="21"/>
                <w:lang w:bidi="ar"/>
              </w:rPr>
              <w:t>皮内注射块有40个注射点，皮内注射时可处出现真实皮丘，每个点均可注入真实液体，抽出液体后可反复进行练习。</w:t>
            </w:r>
          </w:p>
        </w:tc>
      </w:tr>
      <w:tr w14:paraId="765F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630A49C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CBCE682">
            <w:pPr>
              <w:widowControl/>
              <w:jc w:val="left"/>
              <w:rPr>
                <w:rFonts w:hint="eastAsia" w:ascii="宋体" w:hAnsi="宋体" w:cstheme="minorEastAsia"/>
                <w:kern w:val="0"/>
                <w:szCs w:val="21"/>
                <w:lang w:bidi="ar"/>
              </w:rPr>
            </w:pPr>
            <w:r>
              <w:rPr>
                <w:rFonts w:hint="eastAsia" w:ascii="宋体" w:hAnsi="宋体" w:cs="宋体"/>
                <w:kern w:val="0"/>
                <w:szCs w:val="21"/>
              </w:rPr>
              <w:t>简易标识臀部注射模型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5E3B7D6">
            <w:pPr>
              <w:widowControl/>
              <w:jc w:val="left"/>
              <w:rPr>
                <w:rFonts w:hint="eastAsia" w:ascii="宋体" w:hAnsi="宋体" w:cstheme="minorEastAsia"/>
                <w:kern w:val="0"/>
                <w:szCs w:val="21"/>
                <w:lang w:bidi="ar"/>
              </w:rPr>
            </w:pPr>
            <w:r>
              <w:rPr>
                <w:rFonts w:ascii="宋体" w:hAnsi="宋体" w:cs="Calibri"/>
                <w:kern w:val="0"/>
                <w:szCs w:val="21"/>
              </w:rPr>
              <w:t>5</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5C103F78">
            <w:pPr>
              <w:widowControl/>
              <w:jc w:val="left"/>
              <w:rPr>
                <w:rFonts w:hint="eastAsia" w:ascii="宋体" w:hAnsi="宋体" w:cstheme="minorEastAsia"/>
                <w:kern w:val="0"/>
                <w:szCs w:val="21"/>
                <w:lang w:bidi="ar"/>
              </w:rPr>
            </w:pPr>
            <w:r>
              <w:rPr>
                <w:rFonts w:hint="eastAsia" w:ascii="宋体" w:hAnsi="宋体" w:cs="宋体"/>
                <w:kern w:val="0"/>
                <w:szCs w:val="21"/>
                <w:lang w:bidi="ar"/>
              </w:rPr>
              <w:t>1.模型为成人臀部，可实现侧卧、俯卧两种操作体位</w:t>
            </w:r>
            <w:r>
              <w:rPr>
                <w:rFonts w:hint="eastAsia" w:ascii="宋体" w:hAnsi="宋体" w:cs="宋体"/>
                <w:kern w:val="0"/>
                <w:szCs w:val="21"/>
                <w:lang w:bidi="ar"/>
              </w:rPr>
              <w:br w:type="textWrapping"/>
            </w:r>
            <w:r>
              <w:rPr>
                <w:rFonts w:hint="eastAsia" w:ascii="宋体" w:hAnsi="宋体" w:cs="宋体"/>
                <w:kern w:val="0"/>
                <w:szCs w:val="21"/>
                <w:lang w:bidi="ar"/>
              </w:rPr>
              <w:t>2.注射部位模块可更换，经济实用</w:t>
            </w:r>
            <w:r>
              <w:rPr>
                <w:rFonts w:hint="eastAsia" w:ascii="宋体" w:hAnsi="宋体" w:cs="宋体"/>
                <w:kern w:val="0"/>
                <w:szCs w:val="21"/>
                <w:lang w:bidi="ar"/>
              </w:rPr>
              <w:br w:type="textWrapping"/>
            </w:r>
            <w:r>
              <w:rPr>
                <w:rFonts w:hint="eastAsia" w:ascii="宋体" w:hAnsi="宋体" w:cs="宋体"/>
                <w:kern w:val="0"/>
                <w:szCs w:val="21"/>
                <w:lang w:bidi="ar"/>
              </w:rPr>
              <w:t>3.肌内注射，可注入、排出真实液体</w:t>
            </w:r>
            <w:r>
              <w:rPr>
                <w:rFonts w:hint="eastAsia" w:ascii="宋体" w:hAnsi="宋体" w:cs="宋体"/>
                <w:kern w:val="0"/>
                <w:szCs w:val="21"/>
                <w:lang w:bidi="ar"/>
              </w:rPr>
              <w:br w:type="textWrapping"/>
            </w:r>
            <w:r>
              <w:rPr>
                <w:rFonts w:hint="eastAsia" w:ascii="宋体" w:hAnsi="宋体" w:cs="宋体"/>
                <w:kern w:val="0"/>
                <w:szCs w:val="21"/>
                <w:lang w:bidi="ar"/>
              </w:rPr>
              <w:t>4.灌肠术：可将模拟灌肠液直接注入模型</w:t>
            </w:r>
            <w:r>
              <w:rPr>
                <w:rFonts w:hint="eastAsia" w:ascii="宋体" w:hAnsi="宋体" w:cs="宋体"/>
                <w:kern w:val="0"/>
                <w:szCs w:val="21"/>
                <w:lang w:bidi="ar"/>
              </w:rPr>
              <w:br w:type="textWrapping"/>
            </w:r>
            <w:r>
              <w:rPr>
                <w:rFonts w:hint="eastAsia" w:ascii="宋体" w:hAnsi="宋体" w:cs="宋体"/>
                <w:kern w:val="0"/>
                <w:szCs w:val="21"/>
                <w:lang w:bidi="ar"/>
              </w:rPr>
              <w:t>5.可反复进行练习</w:t>
            </w:r>
          </w:p>
        </w:tc>
      </w:tr>
      <w:tr w14:paraId="68F8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38" w:type="dxa"/>
            <w:vAlign w:val="center"/>
          </w:tcPr>
          <w:p w14:paraId="51082DEF">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1D71ABE">
            <w:pPr>
              <w:widowControl/>
              <w:jc w:val="left"/>
              <w:rPr>
                <w:rFonts w:hint="eastAsia" w:ascii="宋体" w:hAnsi="宋体" w:cstheme="minorEastAsia"/>
                <w:kern w:val="0"/>
                <w:szCs w:val="21"/>
                <w:lang w:bidi="ar"/>
              </w:rPr>
            </w:pPr>
            <w:r>
              <w:rPr>
                <w:rFonts w:hint="eastAsia" w:ascii="宋体" w:hAnsi="宋体" w:cs="宋体"/>
                <w:kern w:val="0"/>
                <w:szCs w:val="21"/>
              </w:rPr>
              <w:t>褥疮护理仿真模型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429BA98">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7FE855A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模型模拟成人臀部，采用硅胶材质，呈现真实的俯卧位姿势。</w:t>
            </w:r>
          </w:p>
          <w:p w14:paraId="0F2B9C7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模型可显示压疮的四个临床分期，包括淤血红润期、炎性浸润期、浅度溃疡期和坏死溃疡期。同时，还能展示压疮的各种病理表现，如压疮炎症、溃疡、窦道、腐肉、坏死、焦痂等。</w:t>
            </w:r>
          </w:p>
          <w:p w14:paraId="171DB016">
            <w:pPr>
              <w:widowControl/>
              <w:jc w:val="left"/>
              <w:rPr>
                <w:rFonts w:hint="eastAsia" w:ascii="宋体" w:hAnsi="宋体" w:cstheme="minorEastAsia"/>
                <w:kern w:val="0"/>
                <w:szCs w:val="21"/>
                <w:lang w:bidi="ar"/>
              </w:rPr>
            </w:pPr>
            <w:r>
              <w:rPr>
                <w:rFonts w:hint="eastAsia" w:ascii="宋体" w:hAnsi="宋体" w:cs="宋体"/>
                <w:kern w:val="0"/>
                <w:szCs w:val="21"/>
                <w:lang w:bidi="ar"/>
              </w:rPr>
              <w:t>3. 模型可用于学习在不同褥疮阶段进行专业评估（检查、测量和描述）、伤口护理和绷带包扎技术训练等。</w:t>
            </w:r>
          </w:p>
        </w:tc>
      </w:tr>
      <w:tr w14:paraId="095C0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438" w:type="dxa"/>
            <w:vAlign w:val="center"/>
          </w:tcPr>
          <w:p w14:paraId="32A86D84">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027E243E">
            <w:pPr>
              <w:widowControl/>
              <w:jc w:val="left"/>
              <w:rPr>
                <w:rFonts w:hint="eastAsia" w:ascii="宋体" w:hAnsi="宋体" w:cstheme="minorEastAsia"/>
                <w:kern w:val="0"/>
                <w:szCs w:val="21"/>
                <w:lang w:bidi="ar"/>
              </w:rPr>
            </w:pPr>
            <w:r>
              <w:rPr>
                <w:rFonts w:hint="eastAsia" w:ascii="宋体" w:hAnsi="宋体" w:cs="宋体"/>
                <w:kern w:val="0"/>
                <w:szCs w:val="21"/>
              </w:rPr>
              <w:t>鼻胃管技能训练模型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C411658">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2803142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模型为成年男性上半身，能够模拟洗胃时的多种体位，包括站立、半坐位和躺卧位等</w:t>
            </w:r>
          </w:p>
          <w:p w14:paraId="1929C38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2.模型结构完整，包括牙齿、舌头、悬雍垂、气管、支气管、左右肺脏、食管、胃、膈、胆囊、胰腺、脾脏、十二指肠、结肠等解剖结构。</w:t>
            </w:r>
          </w:p>
          <w:p w14:paraId="723F39A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胸腹部外皮为透明外壳。</w:t>
            </w:r>
          </w:p>
          <w:p w14:paraId="7E93C88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模型配备真实大小的透明胃。</w:t>
            </w:r>
          </w:p>
          <w:p w14:paraId="0680F5D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 模型使用完毕后，消化道内残留液体可通过专用管道排出。</w:t>
            </w:r>
          </w:p>
          <w:p w14:paraId="1C63999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 模型可用于洗胃术的训练，包括经口和鼻洗胃器洗胃法等多种方法。</w:t>
            </w:r>
          </w:p>
          <w:p w14:paraId="3406F11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7.模型还可进行鼻饲术、氧气吸入、口腔护理、经口经鼻吸痰术、气管切开术后护理等多项护理操作的训练。</w:t>
            </w:r>
          </w:p>
        </w:tc>
      </w:tr>
      <w:tr w14:paraId="4BCC2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tcBorders>
              <w:bottom w:val="single" w:color="auto" w:sz="4" w:space="0"/>
            </w:tcBorders>
            <w:vAlign w:val="center"/>
          </w:tcPr>
          <w:p w14:paraId="297921D9">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2714427F">
            <w:pPr>
              <w:widowControl/>
              <w:jc w:val="left"/>
              <w:rPr>
                <w:rFonts w:hint="eastAsia" w:ascii="宋体" w:hAnsi="宋体" w:cstheme="minorEastAsia"/>
                <w:kern w:val="0"/>
                <w:szCs w:val="21"/>
                <w:lang w:bidi="ar"/>
              </w:rPr>
            </w:pPr>
            <w:r>
              <w:rPr>
                <w:rFonts w:hint="eastAsia" w:ascii="宋体" w:hAnsi="宋体" w:cs="宋体"/>
                <w:kern w:val="0"/>
                <w:szCs w:val="21"/>
              </w:rPr>
              <w:t>灌肠训练仿真模型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4F47D29C">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116787A9">
            <w:pPr>
              <w:widowControl/>
              <w:jc w:val="left"/>
              <w:rPr>
                <w:rFonts w:hint="eastAsia" w:ascii="宋体" w:hAnsi="宋体" w:cstheme="minorEastAsia"/>
                <w:kern w:val="0"/>
                <w:szCs w:val="21"/>
                <w:lang w:bidi="ar"/>
              </w:rPr>
            </w:pPr>
            <w:r>
              <w:rPr>
                <w:rFonts w:hint="eastAsia" w:ascii="宋体" w:hAnsi="宋体" w:cs="宋体"/>
                <w:kern w:val="0"/>
                <w:szCs w:val="21"/>
                <w:lang w:bidi="ar"/>
              </w:rPr>
              <w:t>1. 成年半身模型，左侧卧位，具有柔韧的仿真皮肤，皮下与肌肉组织，手感真实，触有弹性，韧性良好。</w:t>
            </w:r>
            <w:r>
              <w:rPr>
                <w:rFonts w:hint="eastAsia" w:ascii="宋体" w:hAnsi="宋体" w:cs="宋体"/>
                <w:kern w:val="0"/>
                <w:szCs w:val="21"/>
                <w:lang w:bidi="ar"/>
              </w:rPr>
              <w:br w:type="textWrapping"/>
            </w:r>
            <w:r>
              <w:rPr>
                <w:rFonts w:hint="eastAsia" w:ascii="宋体" w:hAnsi="宋体" w:cs="宋体"/>
                <w:kern w:val="0"/>
                <w:szCs w:val="21"/>
                <w:lang w:bidi="ar"/>
              </w:rPr>
              <w:t>2. 模型具有肛门、肛管、直肠结构，可进行各种灌肠操作（大量不保留灌肠、小量不保留灌肠、保留灌肠），插管时具备仿真阻力感。</w:t>
            </w:r>
            <w:r>
              <w:rPr>
                <w:rFonts w:hint="eastAsia" w:ascii="宋体" w:hAnsi="宋体" w:cs="宋体"/>
                <w:kern w:val="0"/>
                <w:szCs w:val="21"/>
                <w:lang w:bidi="ar"/>
              </w:rPr>
              <w:br w:type="textWrapping"/>
            </w:r>
            <w:r>
              <w:rPr>
                <w:rFonts w:hint="eastAsia" w:ascii="宋体" w:hAnsi="宋体" w:cs="宋体"/>
                <w:kern w:val="0"/>
                <w:szCs w:val="21"/>
                <w:lang w:bidi="ar"/>
              </w:rPr>
              <w:t>3. 灌入的液体不会从肛门流出。</w:t>
            </w:r>
          </w:p>
        </w:tc>
      </w:tr>
      <w:tr w14:paraId="42A5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tcBorders>
              <w:top w:val="single" w:color="auto" w:sz="4" w:space="0"/>
              <w:bottom w:val="single" w:color="auto" w:sz="4" w:space="0"/>
              <w:right w:val="single" w:color="auto" w:sz="4" w:space="0"/>
            </w:tcBorders>
            <w:vAlign w:val="center"/>
          </w:tcPr>
          <w:p w14:paraId="713AAE22">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733752AC">
            <w:pPr>
              <w:widowControl/>
              <w:jc w:val="left"/>
              <w:rPr>
                <w:rFonts w:hint="eastAsia" w:ascii="宋体" w:hAnsi="宋体" w:cstheme="minorEastAsia"/>
                <w:kern w:val="0"/>
                <w:szCs w:val="21"/>
                <w:lang w:bidi="ar"/>
              </w:rPr>
            </w:pPr>
            <w:r>
              <w:rPr>
                <w:rFonts w:hint="eastAsia" w:ascii="宋体" w:hAnsi="宋体" w:cs="宋体"/>
                <w:kern w:val="0"/>
                <w:szCs w:val="21"/>
              </w:rPr>
              <w:t>男性导尿模型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C6B884C">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3458902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模型为常规导尿操作体位。</w:t>
            </w:r>
          </w:p>
          <w:p w14:paraId="449FA32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尿道长度与正常成年男性的尿道长度接近，插入导尿管时可模拟真实的尿液流出，引流至集尿袋中。</w:t>
            </w:r>
          </w:p>
          <w:p w14:paraId="3B43E23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可进行导尿术和留置导尿术的插管、拔管以及留置导尿术后导尿管的固定操作训练。</w:t>
            </w:r>
          </w:p>
          <w:p w14:paraId="364A554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尿道具有真实的三个狭窄和两个弯曲，插管时能够模拟真实的阻滞感。</w:t>
            </w:r>
          </w:p>
          <w:p w14:paraId="5CB5B9CA">
            <w:pPr>
              <w:widowControl/>
              <w:jc w:val="left"/>
              <w:rPr>
                <w:rFonts w:hint="eastAsia" w:ascii="宋体" w:hAnsi="宋体" w:cstheme="minorEastAsia"/>
                <w:kern w:val="0"/>
                <w:szCs w:val="21"/>
                <w:lang w:bidi="ar"/>
              </w:rPr>
            </w:pPr>
            <w:r>
              <w:rPr>
                <w:rFonts w:hint="eastAsia" w:ascii="宋体" w:hAnsi="宋体" w:cs="宋体"/>
                <w:kern w:val="0"/>
                <w:szCs w:val="21"/>
                <w:lang w:bidi="ar"/>
              </w:rPr>
              <w:t>5. 可进行膀胱冲洗的操作训练。</w:t>
            </w:r>
          </w:p>
        </w:tc>
      </w:tr>
      <w:tr w14:paraId="2EEB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tcBorders>
              <w:top w:val="single" w:color="auto" w:sz="4" w:space="0"/>
              <w:bottom w:val="single" w:color="auto" w:sz="4" w:space="0"/>
              <w:right w:val="single" w:color="auto" w:sz="4" w:space="0"/>
            </w:tcBorders>
            <w:vAlign w:val="center"/>
          </w:tcPr>
          <w:p w14:paraId="5CA2749C">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F6066AD">
            <w:pPr>
              <w:widowControl/>
              <w:jc w:val="left"/>
              <w:rPr>
                <w:rFonts w:hint="eastAsia" w:ascii="宋体" w:hAnsi="宋体" w:cstheme="minorEastAsia"/>
                <w:kern w:val="0"/>
                <w:szCs w:val="21"/>
                <w:lang w:bidi="ar"/>
              </w:rPr>
            </w:pPr>
            <w:r>
              <w:rPr>
                <w:rFonts w:hint="eastAsia" w:ascii="宋体" w:hAnsi="宋体" w:cs="宋体"/>
                <w:kern w:val="0"/>
                <w:szCs w:val="21"/>
              </w:rPr>
              <w:t>女性导尿模型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04FEB2B">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64FD8EC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模型为女性成人仿真会阴部，包括膀胱、尿道、尿道括约肌等解剖结构。小阴唇可以向两旁分开，可展示阴蒂、尿道口及阴道口等解剖结构。</w:t>
            </w:r>
          </w:p>
          <w:p w14:paraId="6E5C924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模型的尿道长度与正常成年女性的尿道长度相同，插入导尿管时可以模拟真实的阻力感，进入膀胱时有仿真尿液流出，同时可将尿液引流至集尿袋中。</w:t>
            </w:r>
          </w:p>
          <w:p w14:paraId="7063DFD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模型可进行导尿术和留置导尿术的插管、拔管以及留置导尿术后导尿管的固定操作训练。</w:t>
            </w:r>
          </w:p>
          <w:p w14:paraId="42902516">
            <w:pPr>
              <w:widowControl/>
              <w:jc w:val="left"/>
              <w:rPr>
                <w:rFonts w:hint="eastAsia" w:ascii="宋体" w:hAnsi="宋体" w:cstheme="minorEastAsia"/>
                <w:kern w:val="0"/>
                <w:szCs w:val="21"/>
                <w:lang w:bidi="ar"/>
              </w:rPr>
            </w:pPr>
            <w:r>
              <w:rPr>
                <w:rFonts w:hint="eastAsia" w:ascii="宋体" w:hAnsi="宋体" w:cs="宋体"/>
                <w:kern w:val="0"/>
                <w:szCs w:val="21"/>
                <w:lang w:bidi="ar"/>
              </w:rPr>
              <w:t>4. 模型还可进行膀胱冲洗的操作训练。</w:t>
            </w:r>
          </w:p>
        </w:tc>
      </w:tr>
      <w:tr w14:paraId="6F179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38" w:type="dxa"/>
            <w:tcBorders>
              <w:top w:val="single" w:color="auto" w:sz="4" w:space="0"/>
              <w:bottom w:val="single" w:color="auto" w:sz="4" w:space="0"/>
              <w:right w:val="single" w:color="auto" w:sz="4" w:space="0"/>
            </w:tcBorders>
            <w:vAlign w:val="center"/>
          </w:tcPr>
          <w:p w14:paraId="1C31DBA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19</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FC3FEAA">
            <w:pPr>
              <w:widowControl/>
              <w:jc w:val="left"/>
              <w:rPr>
                <w:rFonts w:hint="eastAsia" w:ascii="宋体" w:hAnsi="宋体" w:cstheme="minorEastAsia"/>
                <w:kern w:val="0"/>
                <w:szCs w:val="21"/>
                <w:lang w:bidi="ar"/>
              </w:rPr>
            </w:pPr>
            <w:r>
              <w:rPr>
                <w:rFonts w:hint="eastAsia" w:ascii="宋体" w:hAnsi="宋体" w:cs="宋体"/>
                <w:kern w:val="0"/>
                <w:szCs w:val="21"/>
              </w:rPr>
              <w:t>整体护理人模型</w:t>
            </w:r>
            <w:r>
              <w:rPr>
                <w:rFonts w:ascii="宋体" w:hAnsi="宋体" w:cs="Calibri"/>
                <w:kern w:val="0"/>
                <w:szCs w:val="21"/>
              </w:rPr>
              <w:t>-</w:t>
            </w:r>
            <w:r>
              <w:rPr>
                <w:rFonts w:hint="eastAsia" w:ascii="宋体" w:hAnsi="宋体" w:cs="宋体"/>
                <w:kern w:val="0"/>
                <w:szCs w:val="21"/>
              </w:rPr>
              <w:t>男性</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5D0DA2A9">
            <w:pPr>
              <w:widowControl/>
              <w:jc w:val="left"/>
              <w:rPr>
                <w:rFonts w:hint="eastAsia" w:ascii="宋体" w:hAnsi="宋体" w:cstheme="minorEastAsia"/>
                <w:kern w:val="0"/>
                <w:szCs w:val="21"/>
                <w:lang w:bidi="ar"/>
              </w:rPr>
            </w:pPr>
            <w:r>
              <w:rPr>
                <w:rFonts w:ascii="宋体" w:hAnsi="宋体" w:cs="Calibri"/>
                <w:kern w:val="0"/>
                <w:szCs w:val="21"/>
              </w:rPr>
              <w:t>5</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6F26249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男性模型，关节灵活，可实现多种体位，包括去枕平卧位、屈膝仰卧位、半坐卧位、端坐位、俯卧位、头低足高位、头高足低位、侧卧位、截石位、昏迷体位等体位。</w:t>
            </w:r>
          </w:p>
          <w:p w14:paraId="255727C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具有仿真的头颈部，包括面部的柔软材质和逼真的口腔（牙齿、舌、悬雍垂），逼真的气道（会厌、声门、喉、构状软骨、声带、气管）和食道，连接胸腔内仿真的肺和胃。</w:t>
            </w:r>
          </w:p>
          <w:p w14:paraId="1B9DAC4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模型可进行经口、气管插管的操作；鼻胃管插管/洗胃、鼻饲法的操作；经口、鼻、气管造口吸痰法的操作；吸氧法的操作；气管切开术后护理等多种操作训练。</w:t>
            </w:r>
          </w:p>
          <w:p w14:paraId="0AE6CF00">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模型可进行脸部护理、头发护理、口腔护理、假牙清洁护理等模拟操作。</w:t>
            </w:r>
          </w:p>
          <w:p w14:paraId="539FF71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 模型模拟瞳孔一侧正常、一侧散大的观察对比。</w:t>
            </w:r>
          </w:p>
          <w:p w14:paraId="3AD7CB4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 模型具有质感高度逼真的会阴，材质的拉伸率和抗撕裂强度极高，可进行导尿术的操作、留置导尿及护理、灌肠术的操作。</w:t>
            </w:r>
          </w:p>
          <w:p w14:paraId="039E686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7. 模型可进行臀部肌肉注射、臀部压疮护理，配备全套四个阶段压疮护理模块。</w:t>
            </w:r>
          </w:p>
        </w:tc>
      </w:tr>
      <w:tr w14:paraId="2792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4" w:hRule="atLeast"/>
        </w:trPr>
        <w:tc>
          <w:tcPr>
            <w:tcW w:w="438" w:type="dxa"/>
            <w:tcBorders>
              <w:top w:val="single" w:color="auto" w:sz="4" w:space="0"/>
            </w:tcBorders>
            <w:vAlign w:val="center"/>
          </w:tcPr>
          <w:p w14:paraId="77555237">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20</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F3FF142">
            <w:pPr>
              <w:widowControl/>
              <w:jc w:val="left"/>
              <w:rPr>
                <w:rFonts w:hint="eastAsia" w:ascii="宋体" w:hAnsi="宋体" w:cstheme="minorEastAsia"/>
                <w:kern w:val="0"/>
                <w:szCs w:val="21"/>
                <w:lang w:bidi="ar"/>
              </w:rPr>
            </w:pPr>
            <w:r>
              <w:rPr>
                <w:rFonts w:hint="eastAsia" w:ascii="宋体" w:hAnsi="宋体" w:cs="宋体"/>
                <w:kern w:val="0"/>
                <w:szCs w:val="21"/>
              </w:rPr>
              <w:t>整体护理人模型</w:t>
            </w:r>
            <w:r>
              <w:rPr>
                <w:rFonts w:ascii="宋体" w:hAnsi="宋体" w:cs="Calibri"/>
                <w:kern w:val="0"/>
                <w:szCs w:val="21"/>
              </w:rPr>
              <w:t>-</w:t>
            </w:r>
            <w:r>
              <w:rPr>
                <w:rFonts w:hint="eastAsia" w:ascii="宋体" w:hAnsi="宋体" w:cs="宋体"/>
                <w:kern w:val="0"/>
                <w:szCs w:val="21"/>
              </w:rPr>
              <w:t>女性</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3172C64">
            <w:pPr>
              <w:widowControl/>
              <w:jc w:val="left"/>
              <w:rPr>
                <w:rFonts w:hint="eastAsia" w:ascii="宋体" w:hAnsi="宋体" w:cstheme="minorEastAsia"/>
                <w:kern w:val="0"/>
                <w:szCs w:val="21"/>
                <w:lang w:bidi="ar"/>
              </w:rPr>
            </w:pPr>
            <w:r>
              <w:rPr>
                <w:rFonts w:ascii="宋体" w:hAnsi="宋体" w:cs="Calibri"/>
                <w:kern w:val="0"/>
                <w:szCs w:val="21"/>
              </w:rPr>
              <w:t>5</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5B0EFA1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女性模型，关节灵活，可实现多种体位，包括去枕平卧位、屈膝仰卧位、半坐卧位、端坐位、俯卧位、头低足高位、头高足低位、侧卧位、截石位、昏迷体位等体位。</w:t>
            </w:r>
          </w:p>
          <w:p w14:paraId="689DA85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具有仿真的头颈部，包括面部的柔软材质和逼真的口腔（牙齿、舌、悬雍垂），逼真的气道（会厌、声门、喉、构状软骨、声带、气管）和食道，连接胸腔内仿真的肺和胃。</w:t>
            </w:r>
          </w:p>
          <w:p w14:paraId="0350C75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模型可进行经口、气管插管的操作；鼻胃管插管/洗胃、鼻饲法的操作；经口、鼻、气管造口吸痰法的操作；吸氧法的操作；气管切开术后护理等多种操作训练。</w:t>
            </w:r>
          </w:p>
          <w:p w14:paraId="4CFCEA8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4. 模型可进行脸部护理、头发护理、口腔护理、假牙清洁护理等模拟操作。</w:t>
            </w:r>
          </w:p>
          <w:p w14:paraId="1DBD987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5. 模型模拟瞳孔一侧正常、一侧散大的观察对比。</w:t>
            </w:r>
          </w:p>
          <w:p w14:paraId="0D8F7EF4">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6. 女性模型可进行乳房检查和乳房护理，提供实践操作和培训机会。</w:t>
            </w:r>
          </w:p>
          <w:p w14:paraId="5506091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7. 模型具有质感高度逼真的会阴，材质的拉伸率和抗撕裂强度极高，可进行导尿术的操作、留置导尿及护理、灌肠术的操作。</w:t>
            </w:r>
          </w:p>
          <w:p w14:paraId="6396B46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8. 模型可进行臀部肌肉注射、臀部压疮护理，配备全套四个阶段压疮护理模块。</w:t>
            </w:r>
          </w:p>
        </w:tc>
      </w:tr>
      <w:tr w14:paraId="46BB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47C07B59">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E48DC06">
            <w:pPr>
              <w:widowControl/>
              <w:jc w:val="left"/>
              <w:rPr>
                <w:rFonts w:hint="eastAsia" w:ascii="宋体" w:hAnsi="宋体" w:cstheme="minorEastAsia"/>
                <w:kern w:val="0"/>
                <w:szCs w:val="21"/>
                <w:lang w:bidi="ar"/>
              </w:rPr>
            </w:pPr>
            <w:r>
              <w:rPr>
                <w:rFonts w:hint="eastAsia" w:ascii="宋体" w:hAnsi="宋体" w:cs="宋体"/>
                <w:kern w:val="0"/>
                <w:szCs w:val="21"/>
              </w:rPr>
              <w:t>臀部肌肉注射仿真模型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C2DB217">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5015E30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1. 模型为成人臀部，肤质仿真度高，根据解剖原理标准设计，具有注射部位的区分虚线标志。</w:t>
            </w:r>
          </w:p>
          <w:p w14:paraId="72B2CEF1">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2. 模型支持肌内注射，可注入模拟药液。药液可以方便排出，便于清洁和重复使用。</w:t>
            </w:r>
          </w:p>
          <w:p w14:paraId="50B9E01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3. 模型可以使用不同规格的注射器进行注射，同时设有安全防护设置。</w:t>
            </w:r>
          </w:p>
          <w:p w14:paraId="05D7E6BF">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4. 模型可以反复进行练习。</w:t>
            </w:r>
          </w:p>
        </w:tc>
      </w:tr>
      <w:tr w14:paraId="2A19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38" w:type="dxa"/>
            <w:vAlign w:val="center"/>
          </w:tcPr>
          <w:p w14:paraId="327D1B23">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0486DBCB">
            <w:pPr>
              <w:widowControl/>
              <w:jc w:val="left"/>
              <w:rPr>
                <w:rFonts w:hint="eastAsia" w:ascii="宋体" w:hAnsi="宋体" w:cstheme="minorEastAsia"/>
                <w:kern w:val="0"/>
                <w:szCs w:val="21"/>
                <w:lang w:bidi="ar"/>
              </w:rPr>
            </w:pPr>
            <w:r>
              <w:rPr>
                <w:rFonts w:hint="eastAsia" w:ascii="宋体" w:hAnsi="宋体" w:cs="宋体"/>
                <w:kern w:val="0"/>
                <w:szCs w:val="21"/>
              </w:rPr>
              <w:t>皮内注射仿真模型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44AAB890">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6477408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皮内注射模型覆盖手腕至肘部的区域，包括仿真皮肤和细微纹理。</w:t>
            </w:r>
          </w:p>
          <w:p w14:paraId="4DF3818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模型提供多个部位供皮内注射练习，注射液体正确时，皮肤会形成一个皮丘，拔出针后液体会流出，皮丘会逐渐消失。</w:t>
            </w:r>
          </w:p>
          <w:p w14:paraId="11BD66B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每个位置可以进行多次的注射练习</w:t>
            </w:r>
          </w:p>
        </w:tc>
      </w:tr>
      <w:tr w14:paraId="0B13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38" w:type="dxa"/>
            <w:vAlign w:val="center"/>
          </w:tcPr>
          <w:p w14:paraId="322F2CDD">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6D8F120">
            <w:pPr>
              <w:widowControl/>
              <w:jc w:val="left"/>
              <w:rPr>
                <w:rFonts w:hint="eastAsia" w:ascii="宋体" w:hAnsi="宋体" w:cstheme="minorEastAsia"/>
                <w:kern w:val="0"/>
                <w:szCs w:val="21"/>
                <w:lang w:bidi="ar"/>
              </w:rPr>
            </w:pPr>
            <w:r>
              <w:rPr>
                <w:rFonts w:hint="eastAsia" w:ascii="宋体" w:hAnsi="宋体" w:cs="宋体"/>
                <w:kern w:val="0"/>
                <w:szCs w:val="21"/>
              </w:rPr>
              <w:t>佩戴式上臂肌肉注射仿真模型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5BA74678">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3B474E5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模型可佩戴在学员或者模拟人的上臂上。</w:t>
            </w:r>
          </w:p>
          <w:p w14:paraId="3996781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模型具有明显的解剖标志，包括可以触及的肩峰。</w:t>
            </w:r>
          </w:p>
          <w:p w14:paraId="5C8AD61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模型支持上臂肌内注射，可注入模拟药液，可以方便地排出。</w:t>
            </w:r>
          </w:p>
          <w:p w14:paraId="5543025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模型可进行皮下注射。</w:t>
            </w:r>
          </w:p>
          <w:p w14:paraId="06BED93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模型可以使用不同规格的注射器进行穿刺，同时设有安全防护设置。</w:t>
            </w:r>
          </w:p>
          <w:p w14:paraId="629F0F1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模型可以反复进行练习。</w:t>
            </w:r>
          </w:p>
        </w:tc>
      </w:tr>
      <w:tr w14:paraId="0231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38" w:type="dxa"/>
            <w:vAlign w:val="center"/>
          </w:tcPr>
          <w:p w14:paraId="0208954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E53E3B8">
            <w:pPr>
              <w:widowControl/>
              <w:jc w:val="left"/>
              <w:rPr>
                <w:rFonts w:hint="eastAsia" w:ascii="宋体" w:hAnsi="宋体" w:cstheme="minorEastAsia"/>
                <w:kern w:val="0"/>
                <w:szCs w:val="21"/>
                <w:lang w:bidi="ar"/>
              </w:rPr>
            </w:pPr>
            <w:r>
              <w:rPr>
                <w:rFonts w:hint="eastAsia" w:ascii="宋体" w:hAnsi="宋体" w:cs="宋体"/>
                <w:kern w:val="0"/>
                <w:szCs w:val="21"/>
              </w:rPr>
              <w:t>人类免疫缺陷病毒（</w:t>
            </w:r>
            <w:r>
              <w:rPr>
                <w:rFonts w:ascii="宋体" w:hAnsi="宋体" w:cs="Calibri"/>
                <w:kern w:val="0"/>
                <w:szCs w:val="21"/>
              </w:rPr>
              <w:t>HIV</w:t>
            </w:r>
            <w:r>
              <w:rPr>
                <w:rFonts w:hint="eastAsia" w:ascii="宋体" w:hAnsi="宋体" w:cs="宋体"/>
                <w:kern w:val="0"/>
                <w:szCs w:val="21"/>
              </w:rPr>
              <w:t>）模型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353C74A">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10112A4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放大数百万倍的艾滋病病毒模型</w:t>
            </w:r>
          </w:p>
          <w:p w14:paraId="7D8F380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展示外质膜及蛋白结构</w:t>
            </w:r>
          </w:p>
          <w:p w14:paraId="7A64A59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包含病毒遗传物质(核糖核酸，RNA)的细胞核</w:t>
            </w:r>
          </w:p>
        </w:tc>
      </w:tr>
      <w:tr w14:paraId="29AD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vAlign w:val="center"/>
          </w:tcPr>
          <w:p w14:paraId="50A97AD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10DA15F3">
            <w:pPr>
              <w:widowControl/>
              <w:jc w:val="left"/>
              <w:rPr>
                <w:rFonts w:hint="eastAsia" w:ascii="宋体" w:hAnsi="宋体" w:cstheme="minorEastAsia"/>
                <w:kern w:val="0"/>
                <w:szCs w:val="21"/>
                <w:lang w:bidi="ar"/>
              </w:rPr>
            </w:pPr>
            <w:r>
              <w:rPr>
                <w:rFonts w:hint="eastAsia" w:ascii="宋体" w:hAnsi="宋体" w:cs="宋体"/>
                <w:kern w:val="0"/>
                <w:szCs w:val="21"/>
              </w:rPr>
              <w:t>除颤监护仪</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1988CA38">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2FC2900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模拟除颤仪外观、功能、重量与临床真实的除颤仪一致（教学用，非真实除颤仪）。</w:t>
            </w:r>
          </w:p>
          <w:p w14:paraId="561B18A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支持无线连接，具备手动除颤、心电监护、呼吸监护、自动体外除颤（AED）功能。</w:t>
            </w:r>
          </w:p>
          <w:p w14:paraId="688EAC6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除颤采用双相波技术，具备自动阻抗补偿功能。</w:t>
            </w:r>
          </w:p>
          <w:p w14:paraId="447868B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手动除颤分为同步和非同步两种方式，能量分20档以上，可通过体外电极板进行能量选择。</w:t>
            </w:r>
          </w:p>
          <w:p w14:paraId="5A56465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除颤充电迅速，充电至200J不超过5秒。</w:t>
            </w:r>
          </w:p>
          <w:p w14:paraId="3AD650B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心电波形扫描时间大于10秒，扫描长度大于100mm。</w:t>
            </w:r>
          </w:p>
          <w:p w14:paraId="4AE3BB7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 可选配血氧饱和度监护功能。</w:t>
            </w:r>
          </w:p>
          <w:p w14:paraId="1D9BEAE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 内置可充电锂电池，支持100次以上200J的除颤操作。</w:t>
            </w:r>
          </w:p>
          <w:p w14:paraId="018E45A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 具备生理报警和技术报警功能，通过声音、灯光等多种方式进行报警。</w:t>
            </w:r>
          </w:p>
          <w:p w14:paraId="4A12ECF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 提供成人、小儿一体化电极板，可选用除颤起搏监护多功能电极片。</w:t>
            </w:r>
          </w:p>
          <w:p w14:paraId="531881C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 支持中文操作界面和AED中文语音提示，方便操作和指导。</w:t>
            </w:r>
          </w:p>
          <w:p w14:paraId="6E37F61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12. 配备彩色显示屏，分辨率800×480以上，可显示3通道监护参数波形。</w:t>
            </w:r>
          </w:p>
          <w:p w14:paraId="73E832F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13. 提供50mm的记录仪，自动打印除颤记录，可延迟打印心电，延迟时间大于10秒。</w:t>
            </w:r>
          </w:p>
          <w:p w14:paraId="2DF8BF9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14. 可存储24小时连续ECG波形，数据可导出至电脑进行查看和分析。</w:t>
            </w:r>
          </w:p>
          <w:p w14:paraId="3ADB002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15. 具备良好的防水性能，防水级别达到IPX4及以上。</w:t>
            </w:r>
          </w:p>
          <w:p w14:paraId="7EA20BD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16. 具备优异的抗跌落性能，裸机能承受至少0.75m跌落冲击。</w:t>
            </w:r>
          </w:p>
        </w:tc>
      </w:tr>
      <w:tr w14:paraId="306B0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438" w:type="dxa"/>
            <w:vAlign w:val="center"/>
          </w:tcPr>
          <w:p w14:paraId="787CBD6C">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47BC8A0">
            <w:pPr>
              <w:widowControl/>
              <w:jc w:val="left"/>
              <w:rPr>
                <w:rFonts w:hint="eastAsia" w:ascii="宋体" w:hAnsi="宋体" w:cstheme="minorEastAsia"/>
                <w:kern w:val="0"/>
                <w:szCs w:val="21"/>
                <w:lang w:bidi="ar"/>
              </w:rPr>
            </w:pPr>
            <w:r>
              <w:rPr>
                <w:rFonts w:hint="eastAsia" w:ascii="宋体" w:hAnsi="宋体" w:cs="宋体"/>
                <w:kern w:val="0"/>
                <w:szCs w:val="21"/>
              </w:rPr>
              <w:t>气道管理模型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BCC8DA5">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7162E5E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模拟人为成人上半身模型，仰卧位，具有明显的解剖标志，可以进行仰头举颏和后仰练习，清除呼吸道异物。</w:t>
            </w:r>
          </w:p>
          <w:p w14:paraId="7A19DB2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主要功能包括气道开通与呼吸维持技术的操作，如鼻咽通气管、口咽通气管、喉罩、喉通气管、气管插管、环甲膜穿刺、环甲膜切开、气管切开等。</w:t>
            </w:r>
          </w:p>
          <w:p w14:paraId="4CF94F1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气管入口处有颜色标记，方便学员进行练习和定位。</w:t>
            </w:r>
          </w:p>
          <w:p w14:paraId="135C232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模型可进行下胃管的练习，胃部透明。</w:t>
            </w:r>
          </w:p>
          <w:p w14:paraId="50BDB4C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模型的颈动脉可自主搏动。</w:t>
            </w:r>
          </w:p>
          <w:p w14:paraId="18CC60A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模型可进行瞳孔示教，一侧瞳孔正常，一侧瞳孔散大。</w:t>
            </w:r>
          </w:p>
          <w:p w14:paraId="73A4A8E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 模型可通过云平台客户端直接连接设备，便于远程操作和控制。</w:t>
            </w:r>
          </w:p>
          <w:p w14:paraId="0EF095A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 模型可通过蓝牙搜索进行连接，提供更便捷的连接方式。</w:t>
            </w:r>
          </w:p>
          <w:p w14:paraId="3EA9617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 模型可进行经口、鼻气管插管操作，并配置电子监测系统：</w:t>
            </w:r>
          </w:p>
          <w:p w14:paraId="030CBE2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- 9.1 插入气道供气可使双肺膨胀，且有语音提示。</w:t>
            </w:r>
          </w:p>
          <w:p w14:paraId="1AE72F7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- 9.2 插入食管供气可使气体进胃，且有语音提示。</w:t>
            </w:r>
          </w:p>
          <w:p w14:paraId="3215A20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- 9.3 喉镜压迫牙齿力度过大时，有语音提示提醒操作者。</w:t>
            </w:r>
          </w:p>
          <w:p w14:paraId="02F5F2A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 云平台客户端可实时在线免费升级。</w:t>
            </w:r>
          </w:p>
        </w:tc>
      </w:tr>
      <w:tr w14:paraId="41FE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vAlign w:val="center"/>
          </w:tcPr>
          <w:p w14:paraId="157E8076">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27</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112DC93">
            <w:pPr>
              <w:widowControl/>
              <w:jc w:val="left"/>
              <w:rPr>
                <w:rFonts w:hint="eastAsia" w:ascii="宋体" w:hAnsi="宋体" w:cstheme="minorEastAsia"/>
                <w:kern w:val="0"/>
                <w:szCs w:val="21"/>
                <w:lang w:bidi="ar"/>
              </w:rPr>
            </w:pPr>
            <w:r>
              <w:rPr>
                <w:rFonts w:hint="eastAsia" w:ascii="宋体" w:hAnsi="宋体" w:cs="宋体"/>
                <w:kern w:val="0"/>
                <w:szCs w:val="21"/>
              </w:rPr>
              <w:t>成人窒息模型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BA4C599">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3B3D626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模拟人为成年男性上半身模型，具有可触及的肋骨、胸骨、剑突等解剖结构。</w:t>
            </w:r>
          </w:p>
          <w:p w14:paraId="3CF447B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模型配有不同形状、大小的异物，可模拟不同程度的呼吸道异物阻塞情况。</w:t>
            </w:r>
          </w:p>
          <w:p w14:paraId="026FB92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模型可用于练习Heimlick（海姆立克）手法、手指排除异物法和呼吸道异物钳取法等各种技术。</w:t>
            </w:r>
          </w:p>
          <w:p w14:paraId="131E00A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模型可用于练习背部拍击法和胸部按压法，以取出呼吸道异物。</w:t>
            </w:r>
          </w:p>
          <w:p w14:paraId="010CD6F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模型可用于练习站立位和卧位的排除异物法。</w:t>
            </w:r>
          </w:p>
          <w:p w14:paraId="649EFA8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模型可进行心肺复苏按压练习。</w:t>
            </w:r>
          </w:p>
        </w:tc>
      </w:tr>
      <w:tr w14:paraId="003F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3" w:hRule="atLeast"/>
        </w:trPr>
        <w:tc>
          <w:tcPr>
            <w:tcW w:w="438" w:type="dxa"/>
            <w:vAlign w:val="center"/>
          </w:tcPr>
          <w:p w14:paraId="63D7A0EF">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245DDEB">
            <w:pPr>
              <w:widowControl/>
              <w:jc w:val="left"/>
              <w:rPr>
                <w:rFonts w:hint="eastAsia" w:ascii="宋体" w:hAnsi="宋体" w:cstheme="minorEastAsia"/>
                <w:kern w:val="0"/>
                <w:szCs w:val="21"/>
                <w:lang w:bidi="ar"/>
              </w:rPr>
            </w:pPr>
            <w:r>
              <w:rPr>
                <w:rFonts w:hint="eastAsia" w:ascii="宋体" w:hAnsi="宋体" w:cs="宋体"/>
                <w:kern w:val="0"/>
                <w:szCs w:val="21"/>
              </w:rPr>
              <w:t>腰椎穿刺仿真标准化病人</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D5F6C32">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40C67C4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模拟人为成年人模型，体表标志明显，体位为正确的腰穿、硬膜外麻醉穿刺的弓形卧位</w:t>
            </w:r>
          </w:p>
          <w:p w14:paraId="1999850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模型可进行腰椎穿刺和椎管内麻醉的练习，包括蛛网膜下腔阻滞、硬膜外阻滞、骶管阻滞、蛛网膜下腔与硬膜外腔联合阻滞等技术。</w:t>
            </w:r>
          </w:p>
          <w:p w14:paraId="31915F5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模型可进行腰椎诊断性穿刺。</w:t>
            </w:r>
          </w:p>
          <w:p w14:paraId="3102975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模型可进行腰椎治疗性穿刺，可注入药物、放取适量脑脊液、引流血性脑脊液等治疗操作。</w:t>
            </w:r>
          </w:p>
          <w:p w14:paraId="4B74DA8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模型可进行硬膜外腔穿刺的练习。</w:t>
            </w:r>
          </w:p>
          <w:p w14:paraId="5CF0DC9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模型可使用阻力消失法、毛细血管负压法来判断穿刺针尖是否到达硬膜外间隙。</w:t>
            </w:r>
          </w:p>
          <w:p w14:paraId="1F4B5B6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 当穿刺针尖到达蛛网膜下腔时，模型可模拟脑脊液滴出。</w:t>
            </w:r>
          </w:p>
          <w:p w14:paraId="28FD7FD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 模型可注入不同颜色的液体，用于区分正常或异常脑脊液。</w:t>
            </w:r>
          </w:p>
          <w:p w14:paraId="201F232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 模型可进行Queckenstedt实验，并出现梗阻实验阴性结果。</w:t>
            </w:r>
          </w:p>
          <w:p w14:paraId="6593FE7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 同一穿刺部位可反复进行练习。</w:t>
            </w:r>
          </w:p>
          <w:p w14:paraId="7995BB4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 模型的皮肤和穿刺块可更换，方便维护和保养。</w:t>
            </w:r>
          </w:p>
        </w:tc>
      </w:tr>
      <w:tr w14:paraId="792B6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38" w:type="dxa"/>
            <w:vAlign w:val="center"/>
          </w:tcPr>
          <w:p w14:paraId="16DD5862">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29</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494687E">
            <w:pPr>
              <w:widowControl/>
              <w:jc w:val="left"/>
              <w:rPr>
                <w:rFonts w:hint="eastAsia" w:ascii="宋体" w:hAnsi="宋体" w:cstheme="minorEastAsia"/>
                <w:kern w:val="0"/>
                <w:szCs w:val="21"/>
                <w:lang w:bidi="ar"/>
              </w:rPr>
            </w:pPr>
            <w:r>
              <w:rPr>
                <w:rFonts w:hint="eastAsia" w:ascii="宋体" w:hAnsi="宋体" w:cs="宋体"/>
                <w:kern w:val="0"/>
                <w:szCs w:val="21"/>
              </w:rPr>
              <w:t>肝脓肿穿刺与胸腔穿刺训练模型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0C797729">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2ADD0D3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仿真标准化病人可取平卧位和半卧位，质地柔软，触感真实，外观形象逼真。</w:t>
            </w:r>
          </w:p>
          <w:p w14:paraId="7D513FC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解剖位置准确：锁骨、腋窝、各肋骨肋间隙等体表标志可明显触知，便于穿刺定位。</w:t>
            </w:r>
          </w:p>
          <w:p w14:paraId="3108FA6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肝脓肿穿刺术，可寻到肝区压痛点，可随屏息节奏穿刺。穿刺有明显落空感，可抽出模拟肝脓水。</w:t>
            </w:r>
          </w:p>
          <w:p w14:paraId="407C23E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模型可用于取半卧位进行胸腔穿刺的练习，通过叩诊可以确定穿刺部位的实音处，模型也可以模拟抽取出模拟胸腔积液的过程。</w:t>
            </w:r>
          </w:p>
          <w:p w14:paraId="757A3BD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电子监测：穿刺错误有语言提示。</w:t>
            </w:r>
          </w:p>
          <w:p w14:paraId="6D57A38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皮肤和穿刺囊腔可更换，供应耗材。</w:t>
            </w:r>
          </w:p>
          <w:p w14:paraId="5628E02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 同一穿刺部位可反复进行穿刺练习。</w:t>
            </w:r>
          </w:p>
        </w:tc>
      </w:tr>
      <w:tr w14:paraId="097DC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vAlign w:val="center"/>
          </w:tcPr>
          <w:p w14:paraId="11610C6B">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30</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53262D53">
            <w:pPr>
              <w:widowControl/>
              <w:jc w:val="left"/>
              <w:rPr>
                <w:rFonts w:hint="eastAsia" w:ascii="宋体" w:hAnsi="宋体" w:cstheme="minorEastAsia"/>
                <w:kern w:val="0"/>
                <w:szCs w:val="21"/>
                <w:lang w:bidi="ar"/>
              </w:rPr>
            </w:pPr>
            <w:r>
              <w:rPr>
                <w:rFonts w:hint="eastAsia" w:ascii="宋体" w:hAnsi="宋体" w:cs="宋体"/>
                <w:kern w:val="0"/>
                <w:szCs w:val="21"/>
              </w:rPr>
              <w:t>气胸处理操作模型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AA5BBCA">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4322312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模型为成年人上半身，形态逼真，质感真实，具有标准穿刺体位。</w:t>
            </w:r>
          </w:p>
          <w:p w14:paraId="11C3F63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解剖标志明显，学员可以触及模型的锁骨、胸骨上切迹、肋骨、肋间隙等。</w:t>
            </w:r>
          </w:p>
          <w:p w14:paraId="25C86D8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模型可用于气胸穿刺的训练和穿刺后的护理操作，可以进行多次的穿刺练习。</w:t>
            </w:r>
          </w:p>
          <w:p w14:paraId="151F731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当穿刺针进入胸膜腔时，模型会提供突破感，正确操作时还可模拟引流和排气的过程。</w:t>
            </w:r>
          </w:p>
          <w:p w14:paraId="728F346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模型配备脚踏式充气装置，可以分别模拟双侧气胸和单侧气胸的情况。</w:t>
            </w:r>
          </w:p>
          <w:p w14:paraId="7AD99D8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模型的局部皮肤和气囊可以更换，供应耗材，方便维护和保养。</w:t>
            </w:r>
          </w:p>
        </w:tc>
      </w:tr>
      <w:tr w14:paraId="31E4E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38" w:type="dxa"/>
            <w:vAlign w:val="center"/>
          </w:tcPr>
          <w:p w14:paraId="393F5559">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DBA12BE">
            <w:pPr>
              <w:widowControl/>
              <w:jc w:val="left"/>
              <w:rPr>
                <w:rFonts w:hint="eastAsia" w:ascii="宋体" w:hAnsi="宋体" w:cstheme="minorEastAsia"/>
                <w:kern w:val="0"/>
                <w:szCs w:val="21"/>
                <w:lang w:bidi="ar"/>
              </w:rPr>
            </w:pPr>
            <w:r>
              <w:rPr>
                <w:rFonts w:hint="eastAsia" w:ascii="宋体" w:hAnsi="宋体" w:cs="宋体"/>
                <w:kern w:val="0"/>
                <w:szCs w:val="21"/>
              </w:rPr>
              <w:t>静脉介入训练模型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66DF3F0">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7334341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模型为成年人上半身，体表标志明显，显示体内埋置化疗泵的路径以及操作方法。</w:t>
            </w:r>
          </w:p>
          <w:p w14:paraId="34C085D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模型配备了三块不同的胸部肌肉模块，模拟浅、中、深层埋置的化疗泵。</w:t>
            </w:r>
          </w:p>
          <w:p w14:paraId="58DC722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模型可用于练习给药前的消毒以及注射给药的操作。</w:t>
            </w:r>
          </w:p>
          <w:p w14:paraId="1C155B6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模型清晰地反应体内埋置化疗泵可能出现的各种异常情况，如倾斜、移位以及翻转。</w:t>
            </w:r>
          </w:p>
          <w:p w14:paraId="7A61431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模型显示皮下隧道中心静脉穿刺置管术的路径和方法。</w:t>
            </w:r>
          </w:p>
          <w:p w14:paraId="0057585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模型可反复进行练习。</w:t>
            </w:r>
          </w:p>
        </w:tc>
      </w:tr>
      <w:tr w14:paraId="2D2FE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trPr>
        <w:tc>
          <w:tcPr>
            <w:tcW w:w="438" w:type="dxa"/>
            <w:vAlign w:val="center"/>
          </w:tcPr>
          <w:p w14:paraId="35A6605D">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4ACB8F66">
            <w:pPr>
              <w:widowControl/>
              <w:jc w:val="left"/>
              <w:rPr>
                <w:rFonts w:hint="eastAsia" w:ascii="宋体" w:hAnsi="宋体" w:cstheme="minorEastAsia"/>
                <w:kern w:val="0"/>
                <w:szCs w:val="21"/>
                <w:lang w:bidi="ar"/>
              </w:rPr>
            </w:pPr>
            <w:r>
              <w:rPr>
                <w:rFonts w:hint="eastAsia" w:ascii="宋体" w:hAnsi="宋体" w:cs="宋体"/>
                <w:kern w:val="0"/>
                <w:szCs w:val="21"/>
              </w:rPr>
              <w:t>中心静脉穿刺插管术训练仿真模型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7E491E0F">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561315C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解剖结构精确，与真人一般大小，体表标志明显，包括胸骨上切迹、胸锁乳突肌、锁骨、右侧肋骨等。</w:t>
            </w:r>
          </w:p>
          <w:p w14:paraId="3536E4D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模型具有逼真的血管结构，主要包括颈内静脉和锁骨下静脉等。</w:t>
            </w:r>
          </w:p>
          <w:p w14:paraId="15F5970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模型可用于深静脉插管的练习，包括锁骨下静脉穿刺和颈内静脉穿刺，插入针头时会有明显的落空感，并可以抽出模拟静脉血进行模拟操作。</w:t>
            </w:r>
          </w:p>
          <w:p w14:paraId="09B06EC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模型可进行心脏漂浮（Swan-Ganz）导管的插管练习。</w:t>
            </w:r>
          </w:p>
          <w:p w14:paraId="5096330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模型的皮肤和静脉可更换，供应耗材。</w:t>
            </w:r>
          </w:p>
        </w:tc>
      </w:tr>
      <w:tr w14:paraId="3941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trPr>
        <w:tc>
          <w:tcPr>
            <w:tcW w:w="438" w:type="dxa"/>
            <w:vAlign w:val="center"/>
          </w:tcPr>
          <w:p w14:paraId="214387B8">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36BA599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外</w:t>
            </w:r>
            <w:r>
              <w:rPr>
                <w:rFonts w:hint="eastAsia" w:ascii="宋体" w:hAnsi="宋体" w:cs="宋体"/>
                <w:kern w:val="0"/>
                <w:szCs w:val="21"/>
              </w:rPr>
              <w:t>科手术技能训练标准化病人</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60ABA3D">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0497703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模型为整体成年人，关节灵活，解剖结构完整，模拟真实人体解剖结构。</w:t>
            </w:r>
          </w:p>
          <w:p w14:paraId="40B9588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模型可用于手术区的准备练习，包括手术区域皮肤消毒和铺无菌布单等。</w:t>
            </w:r>
          </w:p>
          <w:p w14:paraId="21853B3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学员可以练习全身各处手术切口的术前无菌操作，如头、颈、胸、腹、背、肢体近端、远端、手（足）部等。</w:t>
            </w:r>
          </w:p>
          <w:p w14:paraId="0F3E35A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模型可进行缝合、打结、换药、包扎、伤口清洗等外科技能操作。</w:t>
            </w:r>
          </w:p>
          <w:p w14:paraId="609C2A3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模型可进行多种手术示教和技能训练，包括阑尾切除术、胆囊切除术、胃大部切除胃空肠吻合术、左腹股沟斜疝修补术、脾切除术等。</w:t>
            </w:r>
          </w:p>
          <w:p w14:paraId="620D74A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模型可进行肌肉注射练习。</w:t>
            </w:r>
          </w:p>
        </w:tc>
      </w:tr>
      <w:tr w14:paraId="4119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38" w:type="dxa"/>
            <w:vAlign w:val="center"/>
          </w:tcPr>
          <w:p w14:paraId="2DD89603">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8FFBA25">
            <w:pPr>
              <w:widowControl/>
              <w:jc w:val="left"/>
              <w:rPr>
                <w:rFonts w:hint="eastAsia" w:ascii="宋体" w:hAnsi="宋体" w:cstheme="minorEastAsia"/>
                <w:kern w:val="0"/>
                <w:szCs w:val="21"/>
                <w:lang w:bidi="ar"/>
              </w:rPr>
            </w:pPr>
            <w:r>
              <w:rPr>
                <w:rFonts w:hint="eastAsia" w:ascii="宋体" w:hAnsi="宋体" w:cs="宋体"/>
                <w:kern w:val="0"/>
                <w:szCs w:val="21"/>
              </w:rPr>
              <w:t>气管、支气管模型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3594FB1A">
            <w:pPr>
              <w:widowControl/>
              <w:jc w:val="left"/>
              <w:rPr>
                <w:rFonts w:hint="eastAsia" w:ascii="宋体" w:hAnsi="宋体" w:cstheme="minorEastAsia"/>
                <w:kern w:val="0"/>
                <w:szCs w:val="21"/>
                <w:lang w:bidi="ar"/>
              </w:rPr>
            </w:pPr>
            <w:r>
              <w:rPr>
                <w:rFonts w:ascii="宋体" w:hAnsi="宋体" w:cs="Calibri"/>
                <w:kern w:val="0"/>
                <w:szCs w:val="21"/>
              </w:rPr>
              <w:t>6</w:t>
            </w:r>
            <w:r>
              <w:rPr>
                <w:rFonts w:hint="eastAsia" w:ascii="宋体" w:hAnsi="宋体" w:cs="Calibri"/>
                <w:kern w:val="0"/>
                <w:szCs w:val="21"/>
              </w:rPr>
              <w:t>套</w:t>
            </w:r>
          </w:p>
        </w:tc>
        <w:tc>
          <w:tcPr>
            <w:tcW w:w="7201" w:type="dxa"/>
            <w:tcBorders>
              <w:top w:val="single" w:color="auto" w:sz="4" w:space="0"/>
              <w:left w:val="single" w:color="auto" w:sz="4" w:space="0"/>
              <w:bottom w:val="single" w:color="auto" w:sz="4" w:space="0"/>
            </w:tcBorders>
          </w:tcPr>
          <w:p w14:paraId="2F71F03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模型显示气管、左、右支气管及肺段支气管的外形及毗邻位置关系，右支气管主要示右上叶支气管、中叶支气管、下叶支气管及相应的肺段支气管，左支气管示左上、下叶支气管及其相应的肺段支气管。</w:t>
            </w:r>
          </w:p>
        </w:tc>
      </w:tr>
      <w:tr w14:paraId="4A2F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438" w:type="dxa"/>
            <w:vAlign w:val="center"/>
          </w:tcPr>
          <w:p w14:paraId="1BD24A5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14:paraId="6D7B104C">
            <w:pPr>
              <w:widowControl/>
              <w:jc w:val="left"/>
              <w:rPr>
                <w:rFonts w:hint="eastAsia" w:ascii="宋体" w:hAnsi="宋体" w:cstheme="minorEastAsia"/>
                <w:kern w:val="0"/>
                <w:szCs w:val="21"/>
                <w:lang w:bidi="ar"/>
              </w:rPr>
            </w:pPr>
            <w:r>
              <w:rPr>
                <w:rFonts w:hint="eastAsia" w:ascii="宋体" w:hAnsi="宋体" w:cs="宋体"/>
                <w:kern w:val="0"/>
                <w:szCs w:val="21"/>
              </w:rPr>
              <w:t>头颈部正中矢状切模型</w:t>
            </w:r>
          </w:p>
        </w:tc>
        <w:tc>
          <w:tcPr>
            <w:tcW w:w="773" w:type="dxa"/>
            <w:tcBorders>
              <w:top w:val="single" w:color="auto" w:sz="4" w:space="0"/>
              <w:left w:val="single" w:color="auto" w:sz="4" w:space="0"/>
              <w:bottom w:val="single" w:color="auto" w:sz="4" w:space="0"/>
              <w:right w:val="single" w:color="auto" w:sz="4" w:space="0"/>
            </w:tcBorders>
            <w:shd w:val="clear" w:color="auto" w:fill="auto"/>
            <w:vAlign w:val="center"/>
          </w:tcPr>
          <w:p w14:paraId="252D16E4">
            <w:pPr>
              <w:widowControl/>
              <w:jc w:val="left"/>
              <w:rPr>
                <w:rFonts w:hint="eastAsia" w:ascii="宋体" w:hAnsi="宋体" w:cstheme="minorEastAsia"/>
                <w:kern w:val="0"/>
                <w:szCs w:val="21"/>
                <w:lang w:bidi="ar"/>
              </w:rPr>
            </w:pPr>
            <w:r>
              <w:rPr>
                <w:rFonts w:ascii="宋体" w:hAnsi="宋体" w:cs="Calibri"/>
                <w:kern w:val="0"/>
                <w:szCs w:val="21"/>
              </w:rPr>
              <w:t>2</w:t>
            </w:r>
            <w:r>
              <w:rPr>
                <w:rFonts w:hint="eastAsia" w:ascii="宋体" w:hAnsi="宋体" w:cs="Calibri"/>
                <w:kern w:val="0"/>
                <w:szCs w:val="21"/>
              </w:rPr>
              <w:t>套</w:t>
            </w:r>
          </w:p>
        </w:tc>
        <w:tc>
          <w:tcPr>
            <w:tcW w:w="7201" w:type="dxa"/>
            <w:tcBorders>
              <w:top w:val="single" w:color="auto" w:sz="4" w:space="0"/>
              <w:left w:val="single" w:color="auto" w:sz="4" w:space="0"/>
            </w:tcBorders>
          </w:tcPr>
          <w:p w14:paraId="4DD3F63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模型显示头颈部正中矢状切面内、外侧面的局部形态，包括骨骼、肌肉、血管和神经等结构，能够清晰地展示头颈部的解剖结构。</w:t>
            </w:r>
          </w:p>
          <w:p w14:paraId="579A014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模型配备部位指示标志，标志明确地指示了各个结构的位置。</w:t>
            </w:r>
          </w:p>
        </w:tc>
      </w:tr>
    </w:tbl>
    <w:p w14:paraId="10DBDF49">
      <w:r>
        <w:rPr>
          <w:rFonts w:hint="eastAsia"/>
        </w:rPr>
        <w:br w:type="page"/>
      </w:r>
    </w:p>
    <w:tbl>
      <w:tblPr>
        <w:tblStyle w:val="17"/>
        <w:tblpPr w:leftFromText="180" w:rightFromText="180" w:vertAnchor="text" w:horzAnchor="page" w:tblpX="1399" w:tblpY="247"/>
        <w:tblOverlap w:val="never"/>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890"/>
      </w:tblGrid>
      <w:tr w14:paraId="65829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5E11A20C">
            <w:pPr>
              <w:spacing w:line="400" w:lineRule="exact"/>
              <w:jc w:val="center"/>
              <w:rPr>
                <w:rFonts w:hint="eastAsia" w:ascii="宋体" w:hAnsi="宋体" w:cs="宋体"/>
                <w:szCs w:val="21"/>
              </w:rPr>
            </w:pPr>
            <w:r>
              <w:rPr>
                <w:rFonts w:hint="eastAsia" w:asciiTheme="minorEastAsia" w:hAnsiTheme="minorEastAsia" w:cstheme="minorEastAsia"/>
                <w:b/>
                <w:kern w:val="0"/>
                <w:sz w:val="28"/>
                <w:szCs w:val="28"/>
                <w:lang w:bidi="ar"/>
              </w:rPr>
              <w:t>2分标商务要求</w:t>
            </w:r>
          </w:p>
        </w:tc>
      </w:tr>
      <w:tr w14:paraId="0E96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6" w:type="dxa"/>
            <w:tcBorders>
              <w:top w:val="single" w:color="auto" w:sz="4" w:space="0"/>
              <w:left w:val="single" w:color="auto" w:sz="4" w:space="0"/>
              <w:bottom w:val="single" w:color="auto" w:sz="4" w:space="0"/>
              <w:right w:val="single" w:color="auto" w:sz="4" w:space="0"/>
            </w:tcBorders>
            <w:vAlign w:val="center"/>
          </w:tcPr>
          <w:p w14:paraId="5F14A14E">
            <w:pPr>
              <w:pStyle w:val="11"/>
              <w:snapToGrid w:val="0"/>
              <w:spacing w:line="400" w:lineRule="exact"/>
              <w:jc w:val="center"/>
              <w:rPr>
                <w:rFonts w:hint="eastAsia" w:hAnsi="宋体" w:cs="宋体"/>
                <w:bCs/>
              </w:rPr>
            </w:pPr>
            <w:r>
              <w:rPr>
                <w:rFonts w:hint="eastAsia" w:hAnsi="宋体" w:cs="宋体"/>
                <w:bCs/>
              </w:rPr>
              <w:t>基本要求</w:t>
            </w:r>
          </w:p>
        </w:tc>
        <w:tc>
          <w:tcPr>
            <w:tcW w:w="7890" w:type="dxa"/>
            <w:tcBorders>
              <w:top w:val="single" w:color="auto" w:sz="4" w:space="0"/>
              <w:left w:val="single" w:color="auto" w:sz="4" w:space="0"/>
              <w:bottom w:val="single" w:color="auto" w:sz="4" w:space="0"/>
              <w:right w:val="single" w:color="auto" w:sz="4" w:space="0"/>
            </w:tcBorders>
            <w:vAlign w:val="center"/>
          </w:tcPr>
          <w:p w14:paraId="357D0933">
            <w:pPr>
              <w:snapToGrid w:val="0"/>
              <w:spacing w:line="400" w:lineRule="exact"/>
              <w:rPr>
                <w:rFonts w:hint="eastAsia" w:ascii="宋体" w:hAnsi="宋体" w:cs="宋体"/>
                <w:szCs w:val="21"/>
              </w:rPr>
            </w:pPr>
            <w:r>
              <w:rPr>
                <w:rFonts w:hint="eastAsia" w:ascii="宋体" w:hAnsi="宋体" w:cs="宋体"/>
                <w:szCs w:val="21"/>
              </w:rPr>
              <w:t>1.本项目投标报价包括货物及货物运抵指定交付地点的各种费用、随配附件、备品备件、易损件、专用工具、安装调试、技术培训、技术资料、包装、售后服务、保险费、税金、验收检验及其他所有成本费用的总和；</w:t>
            </w:r>
          </w:p>
          <w:p w14:paraId="18D6B788">
            <w:pPr>
              <w:spacing w:line="400" w:lineRule="exact"/>
              <w:rPr>
                <w:rFonts w:hint="eastAsia" w:ascii="宋体" w:hAnsi="宋体" w:cs="宋体"/>
                <w:szCs w:val="21"/>
              </w:rPr>
            </w:pPr>
            <w:r>
              <w:rPr>
                <w:rFonts w:hint="eastAsia" w:ascii="宋体" w:hAnsi="宋体" w:cs="宋体"/>
                <w:szCs w:val="21"/>
              </w:rPr>
              <w:t>2.投标人应保证投标产品涉及到的知识产权和所提供的相关技术资料是合法取得，不会因为采购人的使用而被责令停止使用、追偿或要求赔偿损失，如出现此情况，一切经济和法律责任均由投标人承担；</w:t>
            </w:r>
          </w:p>
          <w:p w14:paraId="004B9342">
            <w:pPr>
              <w:spacing w:line="400" w:lineRule="exact"/>
              <w:rPr>
                <w:rFonts w:hint="eastAsia" w:ascii="宋体" w:hAnsi="宋体" w:cs="宋体"/>
                <w:szCs w:val="21"/>
              </w:rPr>
            </w:pPr>
            <w:r>
              <w:rPr>
                <w:rFonts w:hint="eastAsia" w:ascii="宋体" w:hAnsi="宋体" w:cs="宋体"/>
                <w:szCs w:val="21"/>
              </w:rPr>
              <w:t>3.投标人应列明详细的产品及相关产品及部件名称、品牌、型号规格、产地和生产厂家及提供完整的技术文件；</w:t>
            </w:r>
          </w:p>
          <w:p w14:paraId="6E5CFCF4">
            <w:pPr>
              <w:spacing w:line="400" w:lineRule="exact"/>
              <w:rPr>
                <w:rFonts w:hint="eastAsia" w:ascii="宋体" w:hAnsi="宋体" w:cs="宋体"/>
                <w:szCs w:val="21"/>
              </w:rPr>
            </w:pPr>
            <w:r>
              <w:rPr>
                <w:rFonts w:hint="eastAsia" w:ascii="宋体" w:hAnsi="宋体" w:cs="宋体"/>
                <w:szCs w:val="21"/>
              </w:rPr>
              <w:t>4.投标文件应正确反映投标产品的技术水平和科技含量，投标产品如包括必备的随机附件及零配件、易损易耗备品备件和专用工具，投标人应提供其清单；</w:t>
            </w:r>
          </w:p>
          <w:p w14:paraId="0060FC68">
            <w:pPr>
              <w:spacing w:line="400" w:lineRule="exact"/>
              <w:rPr>
                <w:rFonts w:hint="eastAsia" w:ascii="宋体" w:hAnsi="宋体" w:cs="宋体"/>
                <w:szCs w:val="21"/>
              </w:rPr>
            </w:pPr>
            <w:r>
              <w:rPr>
                <w:rFonts w:hint="eastAsia" w:ascii="宋体" w:hAnsi="宋体" w:cs="宋体"/>
                <w:szCs w:val="21"/>
              </w:rPr>
              <w:t>5.投标人所投产品应符合国家有关部门规定的相应技术、节能、安全和环保标准；国家有关部门对所投产品有强制性规定或要求的，必须符合相应规定或要求。</w:t>
            </w:r>
          </w:p>
          <w:p w14:paraId="23BFC287">
            <w:pPr>
              <w:spacing w:line="400" w:lineRule="exact"/>
              <w:rPr>
                <w:rFonts w:hint="eastAsia" w:ascii="宋体" w:hAnsi="宋体" w:cs="宋体"/>
                <w:szCs w:val="21"/>
              </w:rPr>
            </w:pPr>
            <w:r>
              <w:rPr>
                <w:rFonts w:hint="eastAsia" w:ascii="宋体" w:hAnsi="宋体" w:cs="宋体"/>
                <w:szCs w:val="21"/>
              </w:rPr>
              <w:t>6.从通过验收即日起计算，存在质量问题的货物，提供15天包换。</w:t>
            </w:r>
          </w:p>
        </w:tc>
      </w:tr>
      <w:tr w14:paraId="7C910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3D5F5D6A">
            <w:pPr>
              <w:pStyle w:val="11"/>
              <w:snapToGrid w:val="0"/>
              <w:spacing w:line="400" w:lineRule="exact"/>
              <w:jc w:val="center"/>
              <w:rPr>
                <w:rFonts w:hint="eastAsia" w:hAnsi="宋体" w:cs="宋体"/>
                <w:bCs/>
              </w:rPr>
            </w:pPr>
            <w:r>
              <w:rPr>
                <w:rFonts w:hint="eastAsia" w:hAnsi="宋体" w:cs="宋体"/>
                <w:bCs/>
              </w:rPr>
              <w:t>售后服务以及其他要求</w:t>
            </w:r>
          </w:p>
        </w:tc>
        <w:tc>
          <w:tcPr>
            <w:tcW w:w="7890" w:type="dxa"/>
            <w:tcBorders>
              <w:top w:val="single" w:color="auto" w:sz="4" w:space="0"/>
              <w:left w:val="single" w:color="auto" w:sz="4" w:space="0"/>
              <w:bottom w:val="single" w:color="auto" w:sz="4" w:space="0"/>
              <w:right w:val="single" w:color="auto" w:sz="4" w:space="0"/>
            </w:tcBorders>
            <w:vAlign w:val="center"/>
          </w:tcPr>
          <w:p w14:paraId="0E8F8A5F">
            <w:pPr>
              <w:pStyle w:val="4"/>
              <w:spacing w:line="400" w:lineRule="exact"/>
              <w:ind w:left="0"/>
              <w:rPr>
                <w:rFonts w:hint="eastAsia" w:ascii="宋体" w:hAnsi="宋体" w:cs="宋体"/>
                <w:szCs w:val="21"/>
              </w:rPr>
            </w:pPr>
            <w:r>
              <w:rPr>
                <w:rFonts w:hint="eastAsia" w:ascii="宋体" w:hAnsi="宋体" w:cs="宋体"/>
                <w:szCs w:val="21"/>
              </w:rPr>
              <w:t>一.售后服务最低要求</w:t>
            </w:r>
          </w:p>
          <w:p w14:paraId="33BC1057">
            <w:pPr>
              <w:pStyle w:val="4"/>
              <w:spacing w:line="400" w:lineRule="exact"/>
              <w:ind w:left="0"/>
              <w:rPr>
                <w:rFonts w:hint="eastAsia" w:ascii="宋体" w:hAnsi="宋体" w:cs="宋体"/>
                <w:szCs w:val="21"/>
              </w:rPr>
            </w:pPr>
            <w:r>
              <w:rPr>
                <w:rFonts w:hint="eastAsia" w:ascii="宋体" w:hAnsi="宋体" w:cs="宋体"/>
                <w:szCs w:val="21"/>
              </w:rPr>
              <w:t>▲1.供应商提供的所有产品必须是全新的、完整的原装产品。</w:t>
            </w:r>
          </w:p>
          <w:p w14:paraId="50CBAB6D">
            <w:pPr>
              <w:pStyle w:val="4"/>
              <w:spacing w:line="400" w:lineRule="exact"/>
              <w:ind w:left="0"/>
              <w:rPr>
                <w:rFonts w:hint="eastAsia" w:ascii="宋体" w:hAnsi="宋体" w:cs="宋体"/>
                <w:szCs w:val="21"/>
              </w:rPr>
            </w:pPr>
            <w:r>
              <w:rPr>
                <w:rFonts w:hint="eastAsia" w:ascii="宋体" w:hAnsi="宋体" w:cs="宋体"/>
                <w:szCs w:val="21"/>
              </w:rPr>
              <w:t>▲2.质量保质期要求：按国家有关产品“三包”规定执行“三包”，质保期为自验收合格之日起至少3年。</w:t>
            </w:r>
          </w:p>
          <w:p w14:paraId="307C5BED">
            <w:pPr>
              <w:pStyle w:val="4"/>
              <w:spacing w:line="400" w:lineRule="exact"/>
              <w:ind w:left="0"/>
              <w:rPr>
                <w:rFonts w:hint="eastAsia" w:ascii="宋体" w:hAnsi="宋体" w:cs="宋体"/>
                <w:szCs w:val="21"/>
              </w:rPr>
            </w:pPr>
            <w:r>
              <w:rPr>
                <w:rFonts w:hint="eastAsia" w:ascii="宋体" w:hAnsi="宋体" w:cs="宋体"/>
                <w:szCs w:val="21"/>
              </w:rPr>
              <w:t>3.在项目实施过程中或在质保期内，因采购人的项目实施地点变更的，中标人必须无条件配合完成相关工作，包括但不限于：</w:t>
            </w:r>
          </w:p>
          <w:p w14:paraId="2DDF5915">
            <w:pPr>
              <w:pStyle w:val="4"/>
              <w:spacing w:line="400" w:lineRule="exact"/>
              <w:ind w:left="0"/>
              <w:rPr>
                <w:rFonts w:hint="eastAsia" w:ascii="宋体" w:hAnsi="宋体" w:cs="宋体"/>
                <w:szCs w:val="21"/>
              </w:rPr>
            </w:pPr>
            <w:r>
              <w:rPr>
                <w:rFonts w:hint="eastAsia" w:ascii="宋体" w:hAnsi="宋体" w:cs="宋体"/>
                <w:szCs w:val="21"/>
              </w:rPr>
              <w:t>3.1. 设备及材料的搬迁：安排并承担设备及材料从原地点到新地点的搬迁工作，确保设备在搬迁过程中不受损坏。</w:t>
            </w:r>
          </w:p>
          <w:p w14:paraId="6C694721">
            <w:pPr>
              <w:pStyle w:val="4"/>
              <w:spacing w:line="400" w:lineRule="exact"/>
              <w:ind w:left="0"/>
              <w:rPr>
                <w:rFonts w:hint="eastAsia" w:ascii="宋体" w:hAnsi="宋体" w:cs="宋体"/>
                <w:szCs w:val="21"/>
              </w:rPr>
            </w:pPr>
            <w:r>
              <w:rPr>
                <w:rFonts w:hint="eastAsia" w:ascii="宋体" w:hAnsi="宋体" w:cs="宋体"/>
                <w:szCs w:val="21"/>
              </w:rPr>
              <w:t>3.2. 安装与调试：在新地点重新进行设备的安装与调试，确保设备能够正常运行，并达到合同规定的性能标准。</w:t>
            </w:r>
          </w:p>
          <w:p w14:paraId="1DDAA84A">
            <w:pPr>
              <w:pStyle w:val="4"/>
              <w:spacing w:line="400" w:lineRule="exact"/>
              <w:ind w:left="0"/>
              <w:rPr>
                <w:rFonts w:hint="eastAsia" w:ascii="宋体" w:hAnsi="宋体" w:cs="宋体"/>
                <w:szCs w:val="21"/>
              </w:rPr>
            </w:pPr>
            <w:r>
              <w:rPr>
                <w:rFonts w:hint="eastAsia" w:ascii="宋体" w:hAnsi="宋体" w:cs="宋体"/>
                <w:szCs w:val="21"/>
              </w:rPr>
              <w:t>3.3. 维护与保养：在新地点继续履行质保期内的维护与保养义务，确保设备在质保期内的正常运行。</w:t>
            </w:r>
          </w:p>
          <w:p w14:paraId="6876D68D">
            <w:pPr>
              <w:pStyle w:val="4"/>
              <w:spacing w:line="400" w:lineRule="exact"/>
              <w:ind w:left="0"/>
              <w:rPr>
                <w:rFonts w:hint="eastAsia" w:ascii="宋体" w:hAnsi="宋体" w:cs="宋体"/>
                <w:szCs w:val="21"/>
              </w:rPr>
            </w:pPr>
            <w:r>
              <w:rPr>
                <w:rFonts w:hint="eastAsia" w:ascii="宋体" w:hAnsi="宋体" w:cs="宋体"/>
                <w:szCs w:val="21"/>
              </w:rPr>
              <w:t>3.4. 文档更新：根据新地点的实际情况，更新相关技术文档、操作手册及维护记录，并提交给采购方。</w:t>
            </w:r>
          </w:p>
          <w:p w14:paraId="3211DDDA">
            <w:pPr>
              <w:pStyle w:val="4"/>
              <w:spacing w:line="400" w:lineRule="exact"/>
              <w:ind w:left="0"/>
              <w:rPr>
                <w:rFonts w:hint="eastAsia" w:ascii="宋体" w:hAnsi="宋体" w:cs="宋体"/>
                <w:szCs w:val="21"/>
              </w:rPr>
            </w:pPr>
            <w:r>
              <w:rPr>
                <w:rFonts w:hint="eastAsia" w:ascii="宋体" w:hAnsi="宋体" w:cs="宋体"/>
                <w:szCs w:val="21"/>
              </w:rPr>
              <w:t>3.5. 应急处理：在搬迁及重新安装过程中，如遇突发情况，供应商应迅速响应并采取有效措施，确保项目不受影响。</w:t>
            </w:r>
          </w:p>
          <w:p w14:paraId="7278CCFC">
            <w:pPr>
              <w:pStyle w:val="4"/>
              <w:spacing w:line="400" w:lineRule="exact"/>
              <w:ind w:left="0"/>
              <w:rPr>
                <w:rFonts w:hint="eastAsia" w:ascii="宋体" w:hAnsi="宋体" w:cs="宋体"/>
                <w:szCs w:val="21"/>
              </w:rPr>
            </w:pPr>
            <w:r>
              <w:rPr>
                <w:rFonts w:hint="eastAsia" w:ascii="宋体" w:hAnsi="宋体" w:cs="宋体"/>
                <w:szCs w:val="21"/>
              </w:rPr>
              <w:t>4.售后服务：</w:t>
            </w:r>
          </w:p>
          <w:p w14:paraId="1F5CC2C1">
            <w:pPr>
              <w:pStyle w:val="4"/>
              <w:spacing w:line="400" w:lineRule="exact"/>
              <w:ind w:left="0"/>
              <w:rPr>
                <w:rFonts w:hint="eastAsia" w:ascii="宋体" w:hAnsi="宋体" w:cs="宋体"/>
                <w:szCs w:val="21"/>
              </w:rPr>
            </w:pPr>
            <w:r>
              <w:rPr>
                <w:rFonts w:hint="eastAsia" w:ascii="宋体" w:hAnsi="宋体" w:cs="宋体"/>
                <w:szCs w:val="21"/>
              </w:rPr>
              <w:t>4.1. 在质保期内免费提供维修和更换零部件服务。质保期结束后，可以选择延长质保期，投标方需提供相应的费用和服务方案。</w:t>
            </w:r>
          </w:p>
          <w:p w14:paraId="44A82C79">
            <w:pPr>
              <w:pStyle w:val="4"/>
              <w:spacing w:line="400" w:lineRule="exact"/>
              <w:ind w:left="0"/>
              <w:rPr>
                <w:rFonts w:hint="eastAsia" w:ascii="宋体" w:hAnsi="宋体" w:cs="宋体"/>
                <w:szCs w:val="21"/>
              </w:rPr>
            </w:pPr>
            <w:r>
              <w:rPr>
                <w:rFonts w:hint="eastAsia" w:ascii="宋体" w:hAnsi="宋体" w:cs="宋体"/>
                <w:szCs w:val="21"/>
              </w:rPr>
              <w:t>4.2. 提供产品终身24/7的技术支持热线，确保在任何时间都能获得技术支持。</w:t>
            </w:r>
          </w:p>
          <w:p w14:paraId="02BEE6F1">
            <w:pPr>
              <w:pStyle w:val="4"/>
              <w:spacing w:line="400" w:lineRule="exact"/>
              <w:ind w:left="0"/>
              <w:rPr>
                <w:rFonts w:hint="eastAsia" w:ascii="宋体" w:hAnsi="宋体" w:cs="宋体"/>
                <w:szCs w:val="21"/>
              </w:rPr>
            </w:pPr>
            <w:r>
              <w:rPr>
                <w:rFonts w:hint="eastAsia" w:ascii="宋体" w:hAnsi="宋体" w:cs="宋体"/>
                <w:szCs w:val="21"/>
              </w:rPr>
              <w:t>4.3. 为客户提供详细的操作和维护培训，提供详细的培训手册和操作指南。</w:t>
            </w:r>
          </w:p>
          <w:p w14:paraId="70AE5BE0">
            <w:pPr>
              <w:pStyle w:val="4"/>
              <w:spacing w:line="400" w:lineRule="exact"/>
              <w:ind w:left="0"/>
              <w:rPr>
                <w:rFonts w:hint="eastAsia" w:ascii="宋体" w:hAnsi="宋体" w:cs="宋体"/>
                <w:szCs w:val="21"/>
              </w:rPr>
            </w:pPr>
            <w:r>
              <w:rPr>
                <w:rFonts w:hint="eastAsia" w:ascii="宋体" w:hAnsi="宋体" w:cs="宋体"/>
                <w:szCs w:val="21"/>
              </w:rPr>
              <w:t>4.4. 维修响应参考一般响应：2小时之内响应，1周内完成修复。更换零部件的30天内完成修复。</w:t>
            </w:r>
          </w:p>
          <w:p w14:paraId="6C07A6A5">
            <w:pPr>
              <w:pStyle w:val="4"/>
              <w:spacing w:line="400" w:lineRule="exact"/>
              <w:ind w:left="0"/>
              <w:rPr>
                <w:rFonts w:hint="eastAsia" w:ascii="宋体" w:hAnsi="宋体" w:cs="宋体"/>
                <w:szCs w:val="21"/>
              </w:rPr>
            </w:pPr>
          </w:p>
        </w:tc>
      </w:tr>
      <w:tr w14:paraId="0661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6387BE76">
            <w:pPr>
              <w:pStyle w:val="11"/>
              <w:snapToGrid w:val="0"/>
              <w:spacing w:line="400" w:lineRule="exact"/>
              <w:jc w:val="center"/>
              <w:rPr>
                <w:rFonts w:hint="eastAsia" w:hAnsi="宋体" w:cs="宋体"/>
                <w:bCs/>
              </w:rPr>
            </w:pPr>
            <w:r>
              <w:rPr>
                <w:rFonts w:hint="eastAsia" w:hAnsi="宋体" w:cs="宋体"/>
                <w:bCs/>
              </w:rPr>
              <w:t>交货时间及地点</w:t>
            </w:r>
          </w:p>
        </w:tc>
        <w:tc>
          <w:tcPr>
            <w:tcW w:w="7890" w:type="dxa"/>
            <w:tcBorders>
              <w:top w:val="single" w:color="auto" w:sz="4" w:space="0"/>
              <w:left w:val="single" w:color="auto" w:sz="4" w:space="0"/>
              <w:bottom w:val="single" w:color="auto" w:sz="4" w:space="0"/>
              <w:right w:val="single" w:color="auto" w:sz="4" w:space="0"/>
            </w:tcBorders>
            <w:vAlign w:val="center"/>
          </w:tcPr>
          <w:p w14:paraId="69A2A52F">
            <w:pPr>
              <w:pStyle w:val="11"/>
              <w:snapToGrid w:val="0"/>
              <w:spacing w:line="400" w:lineRule="exact"/>
              <w:rPr>
                <w:rFonts w:hint="eastAsia" w:hAnsi="宋体" w:cs="宋体"/>
                <w:bCs/>
              </w:rPr>
            </w:pPr>
            <w:r>
              <w:rPr>
                <w:rFonts w:hint="eastAsia" w:hAnsi="宋体" w:cs="宋体"/>
                <w:bCs/>
              </w:rPr>
              <w:t>▲1.交货时间：合同签订之日起30日历天内安装调试完毕，验收合格并交付使用。</w:t>
            </w:r>
          </w:p>
          <w:p w14:paraId="1FA7E0A1">
            <w:pPr>
              <w:pStyle w:val="11"/>
              <w:snapToGrid w:val="0"/>
              <w:spacing w:line="400" w:lineRule="exact"/>
              <w:rPr>
                <w:rFonts w:hint="eastAsia" w:hAnsi="宋体" w:cs="宋体"/>
                <w:bCs/>
              </w:rPr>
            </w:pPr>
            <w:r>
              <w:rPr>
                <w:rFonts w:hint="eastAsia" w:hAnsi="宋体" w:cs="宋体"/>
              </w:rPr>
              <w:t>▲</w:t>
            </w:r>
            <w:r>
              <w:rPr>
                <w:rFonts w:hint="eastAsia" w:hAnsi="宋体" w:cs="宋体"/>
                <w:bCs/>
              </w:rPr>
              <w:t>2.交货地点：广西柳州羊角山路8号，广西壮族自治区胸科医院。</w:t>
            </w:r>
          </w:p>
        </w:tc>
      </w:tr>
      <w:tr w14:paraId="4354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5E7469F7">
            <w:pPr>
              <w:pStyle w:val="11"/>
              <w:snapToGrid w:val="0"/>
              <w:spacing w:line="400" w:lineRule="exact"/>
              <w:jc w:val="center"/>
              <w:rPr>
                <w:rFonts w:hint="eastAsia" w:hAnsi="宋体" w:cs="宋体"/>
                <w:bCs/>
              </w:rPr>
            </w:pPr>
            <w:r>
              <w:rPr>
                <w:rFonts w:hint="eastAsia" w:hAnsi="宋体" w:cs="宋体"/>
                <w:bCs/>
              </w:rPr>
              <w:t>付款方式</w:t>
            </w:r>
          </w:p>
        </w:tc>
        <w:tc>
          <w:tcPr>
            <w:tcW w:w="7890" w:type="dxa"/>
            <w:tcBorders>
              <w:top w:val="single" w:color="auto" w:sz="4" w:space="0"/>
              <w:left w:val="single" w:color="auto" w:sz="4" w:space="0"/>
              <w:bottom w:val="single" w:color="auto" w:sz="4" w:space="0"/>
              <w:right w:val="single" w:color="auto" w:sz="4" w:space="0"/>
            </w:tcBorders>
            <w:vAlign w:val="center"/>
          </w:tcPr>
          <w:p w14:paraId="3312062B">
            <w:pPr>
              <w:pStyle w:val="11"/>
              <w:snapToGrid w:val="0"/>
              <w:spacing w:line="400" w:lineRule="exact"/>
              <w:rPr>
                <w:rFonts w:hint="eastAsia" w:hAnsi="宋体" w:cs="宋体"/>
              </w:rPr>
            </w:pPr>
            <w:r>
              <w:rPr>
                <w:rFonts w:hint="eastAsia" w:hAnsi="宋体" w:cs="宋体"/>
              </w:rPr>
              <w:t>1.预付款</w:t>
            </w:r>
          </w:p>
          <w:p w14:paraId="55836681">
            <w:pPr>
              <w:pStyle w:val="11"/>
              <w:snapToGrid w:val="0"/>
              <w:spacing w:line="400" w:lineRule="exact"/>
              <w:rPr>
                <w:rFonts w:hint="eastAsia" w:hAnsi="宋体" w:cs="宋体"/>
              </w:rPr>
            </w:pPr>
            <w:r>
              <w:rPr>
                <w:rFonts w:hint="eastAsia" w:hAnsi="宋体" w:cs="宋体"/>
              </w:rPr>
              <w:t>自签订合同之日起的第15个工作日内，甲方向乙方支付合同金额的30%。</w:t>
            </w:r>
          </w:p>
          <w:p w14:paraId="2D003643">
            <w:pPr>
              <w:pStyle w:val="11"/>
              <w:snapToGrid w:val="0"/>
              <w:spacing w:line="400" w:lineRule="exact"/>
              <w:rPr>
                <w:rFonts w:hint="eastAsia" w:hAnsi="宋体" w:cs="宋体"/>
              </w:rPr>
            </w:pPr>
            <w:r>
              <w:rPr>
                <w:rFonts w:hint="eastAsia" w:hAnsi="宋体" w:cs="宋体"/>
              </w:rPr>
              <w:t>2.进度款</w:t>
            </w:r>
          </w:p>
          <w:p w14:paraId="7C2E622E">
            <w:pPr>
              <w:pStyle w:val="11"/>
              <w:snapToGrid w:val="0"/>
              <w:spacing w:line="400" w:lineRule="exact"/>
              <w:rPr>
                <w:rFonts w:hint="eastAsia" w:hAnsi="宋体" w:cs="宋体"/>
              </w:rPr>
            </w:pPr>
            <w:r>
              <w:rPr>
                <w:rFonts w:hint="eastAsia" w:hAnsi="宋体" w:cs="宋体"/>
              </w:rPr>
              <w:t>当项目完成安装调试，验收合格，并正式运行后的15个工作日内，甲方向乙方支付合同金额的70%。</w:t>
            </w:r>
          </w:p>
          <w:p w14:paraId="1A79879C">
            <w:pPr>
              <w:pStyle w:val="11"/>
              <w:snapToGrid w:val="0"/>
              <w:spacing w:line="400" w:lineRule="exact"/>
              <w:rPr>
                <w:rFonts w:hint="eastAsia" w:hAnsi="宋体" w:cs="宋体"/>
              </w:rPr>
            </w:pPr>
            <w:r>
              <w:rPr>
                <w:rFonts w:hint="eastAsia" w:hAnsi="宋体" w:cs="宋体"/>
                <w:b/>
                <w:bCs/>
              </w:rPr>
              <w:t>注：中标单位每次请款时必须提供等额发票给采购人。</w:t>
            </w:r>
          </w:p>
        </w:tc>
      </w:tr>
      <w:tr w14:paraId="620A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0C6CCFCB">
            <w:pPr>
              <w:spacing w:line="400" w:lineRule="exact"/>
              <w:ind w:right="-27" w:rightChars="-13"/>
              <w:jc w:val="center"/>
              <w:rPr>
                <w:rFonts w:hint="eastAsia" w:ascii="宋体" w:hAnsi="宋体" w:cs="宋体"/>
                <w:bCs/>
                <w:szCs w:val="21"/>
                <w:lang w:val="en-GB"/>
              </w:rPr>
            </w:pPr>
            <w:r>
              <w:rPr>
                <w:rFonts w:hint="eastAsia" w:ascii="宋体" w:hAnsi="宋体" w:cs="宋体"/>
                <w:szCs w:val="21"/>
              </w:rPr>
              <w:t>履约保证金</w:t>
            </w:r>
          </w:p>
        </w:tc>
        <w:tc>
          <w:tcPr>
            <w:tcW w:w="7890" w:type="dxa"/>
            <w:tcBorders>
              <w:top w:val="single" w:color="auto" w:sz="4" w:space="0"/>
              <w:left w:val="single" w:color="auto" w:sz="4" w:space="0"/>
              <w:bottom w:val="single" w:color="auto" w:sz="4" w:space="0"/>
              <w:right w:val="single" w:color="auto" w:sz="4" w:space="0"/>
            </w:tcBorders>
            <w:vAlign w:val="center"/>
          </w:tcPr>
          <w:p w14:paraId="456C4795">
            <w:pPr>
              <w:numPr>
                <w:ilvl w:val="255"/>
                <w:numId w:val="0"/>
              </w:numPr>
              <w:spacing w:line="400" w:lineRule="exact"/>
              <w:jc w:val="left"/>
              <w:rPr>
                <w:rFonts w:hint="eastAsia" w:ascii="宋体" w:hAnsi="宋体" w:cs="宋体"/>
                <w:bCs/>
                <w:szCs w:val="21"/>
              </w:rPr>
            </w:pPr>
            <w:r>
              <w:rPr>
                <w:rFonts w:hint="eastAsia" w:ascii="宋体" w:hAnsi="宋体" w:cs="宋体"/>
                <w:bCs/>
                <w:szCs w:val="21"/>
              </w:rPr>
              <w:t>1.合同金额的2%。由中标人于项目验收合格后10个工作日内支付至采购人如下账户：</w:t>
            </w:r>
          </w:p>
          <w:p w14:paraId="6602F8BE">
            <w:pPr>
              <w:pStyle w:val="16"/>
              <w:spacing w:line="400" w:lineRule="exact"/>
              <w:ind w:left="0" w:leftChars="0" w:firstLine="0" w:firstLineChars="0"/>
            </w:pPr>
            <w:r>
              <w:t>开户名称：广西壮族自治区胸科医院</w:t>
            </w:r>
          </w:p>
          <w:p w14:paraId="1B0D7428">
            <w:pPr>
              <w:pStyle w:val="16"/>
              <w:spacing w:line="400" w:lineRule="exact"/>
              <w:ind w:left="0" w:leftChars="0" w:firstLine="0" w:firstLineChars="0"/>
            </w:pPr>
            <w:r>
              <w:t>开户银行：</w:t>
            </w:r>
          </w:p>
          <w:p w14:paraId="6E2DE1EB">
            <w:pPr>
              <w:pStyle w:val="16"/>
              <w:spacing w:line="400" w:lineRule="exact"/>
              <w:ind w:left="0" w:leftChars="0" w:firstLine="0" w:firstLineChars="0"/>
            </w:pPr>
            <w:r>
              <w:t>银行账号：</w:t>
            </w:r>
          </w:p>
          <w:p w14:paraId="7140E7D5">
            <w:pPr>
              <w:pStyle w:val="16"/>
              <w:spacing w:line="400" w:lineRule="exact"/>
              <w:ind w:left="0" w:leftChars="0" w:firstLine="0" w:firstLineChars="0"/>
              <w:rPr>
                <w:rFonts w:hint="eastAsia" w:ascii="宋体" w:hAnsi="宋体" w:cs="宋体"/>
                <w:bCs/>
                <w:szCs w:val="21"/>
              </w:rPr>
            </w:pPr>
            <w:r>
              <w:rPr>
                <w:rFonts w:hint="eastAsia"/>
              </w:rPr>
              <w:t>2.履约保证于项目质保期结束后15日历天内退回（不计息）。</w:t>
            </w:r>
          </w:p>
        </w:tc>
      </w:tr>
      <w:tr w14:paraId="4980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5452A9D3">
            <w:pPr>
              <w:widowControl/>
              <w:spacing w:line="400" w:lineRule="exact"/>
              <w:jc w:val="center"/>
              <w:textAlignment w:val="center"/>
              <w:rPr>
                <w:rFonts w:hint="eastAsia" w:ascii="宋体" w:hAnsi="宋体" w:cs="宋体"/>
                <w:szCs w:val="21"/>
              </w:rPr>
            </w:pPr>
            <w:r>
              <w:rPr>
                <w:rFonts w:hint="eastAsia" w:ascii="宋体" w:hAnsi="宋体" w:cs="宋体"/>
                <w:szCs w:val="21"/>
              </w:rPr>
              <w:t>备品备件及耗材等要求</w:t>
            </w:r>
          </w:p>
        </w:tc>
        <w:tc>
          <w:tcPr>
            <w:tcW w:w="7890" w:type="dxa"/>
            <w:tcBorders>
              <w:top w:val="single" w:color="auto" w:sz="4" w:space="0"/>
              <w:left w:val="single" w:color="auto" w:sz="4" w:space="0"/>
              <w:bottom w:val="single" w:color="auto" w:sz="4" w:space="0"/>
              <w:right w:val="single" w:color="auto" w:sz="4" w:space="0"/>
            </w:tcBorders>
            <w:vAlign w:val="center"/>
          </w:tcPr>
          <w:p w14:paraId="0249E1C4">
            <w:pPr>
              <w:widowControl/>
              <w:spacing w:line="400" w:lineRule="exact"/>
              <w:jc w:val="left"/>
              <w:textAlignment w:val="center"/>
              <w:rPr>
                <w:rFonts w:hint="eastAsia" w:ascii="宋体" w:hAnsi="宋体" w:cs="宋体"/>
                <w:szCs w:val="21"/>
              </w:rPr>
            </w:pPr>
            <w:r>
              <w:rPr>
                <w:rFonts w:hint="eastAsia" w:ascii="宋体" w:hAnsi="宋体" w:cs="宋体"/>
                <w:szCs w:val="21"/>
              </w:rPr>
              <w:t>1.投标人所提供零部件、配件及安装材料必须是符合国家规定质量安全标准的全新、合格产品；该项费用应包含在报价中；</w:t>
            </w:r>
          </w:p>
          <w:p w14:paraId="6766D512">
            <w:pPr>
              <w:widowControl/>
              <w:spacing w:line="400" w:lineRule="exact"/>
              <w:jc w:val="left"/>
              <w:textAlignment w:val="center"/>
              <w:rPr>
                <w:rFonts w:hint="eastAsia" w:ascii="宋体" w:hAnsi="宋体" w:cs="宋体"/>
                <w:szCs w:val="21"/>
              </w:rPr>
            </w:pPr>
            <w:r>
              <w:rPr>
                <w:rFonts w:hint="eastAsia" w:ascii="宋体" w:hAnsi="宋体" w:cs="宋体"/>
                <w:szCs w:val="21"/>
              </w:rPr>
              <w:t>2.投标人所提供完整的全套设备须包括必备的易损耗备件和专用工具；</w:t>
            </w:r>
          </w:p>
          <w:p w14:paraId="6F090E92">
            <w:pPr>
              <w:widowControl/>
              <w:spacing w:line="400" w:lineRule="exact"/>
              <w:jc w:val="left"/>
              <w:textAlignment w:val="center"/>
              <w:rPr>
                <w:rFonts w:hint="eastAsia" w:ascii="宋体" w:hAnsi="宋体" w:cs="宋体"/>
                <w:b/>
                <w:bCs/>
                <w:szCs w:val="21"/>
              </w:rPr>
            </w:pPr>
            <w:r>
              <w:rPr>
                <w:rFonts w:hint="eastAsia" w:ascii="宋体" w:hAnsi="宋体" w:cs="宋体"/>
                <w:szCs w:val="21"/>
              </w:rPr>
              <w:t>3.投标人必须有完善的备品备件库体系，质保期内能提供相应的免费的措施和配件，保证过质保期后</w:t>
            </w:r>
            <w:r>
              <w:rPr>
                <w:rFonts w:hint="eastAsia" w:ascii="宋体" w:hAnsi="宋体" w:cs="宋体"/>
                <w:szCs w:val="21"/>
                <w:u w:val="single"/>
              </w:rPr>
              <w:t>五年内</w:t>
            </w:r>
            <w:r>
              <w:rPr>
                <w:rFonts w:hint="eastAsia" w:ascii="宋体" w:hAnsi="宋体" w:cs="宋体"/>
                <w:szCs w:val="21"/>
              </w:rPr>
              <w:t>有足够的备品备件，为完成本项目技术支持、服务需求提供可靠保证。</w:t>
            </w:r>
          </w:p>
        </w:tc>
      </w:tr>
      <w:tr w14:paraId="21406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72C240E4">
            <w:pPr>
              <w:pStyle w:val="11"/>
              <w:snapToGrid w:val="0"/>
              <w:spacing w:line="400" w:lineRule="exact"/>
              <w:rPr>
                <w:rFonts w:hint="eastAsia" w:hAnsi="宋体" w:cs="宋体"/>
                <w:bCs/>
              </w:rPr>
            </w:pPr>
            <w:r>
              <w:rPr>
                <w:rFonts w:hint="eastAsia" w:hAnsi="宋体" w:cs="宋体"/>
                <w:b/>
                <w:bCs/>
              </w:rPr>
              <w:t>三、验收要求</w:t>
            </w:r>
          </w:p>
        </w:tc>
      </w:tr>
      <w:tr w14:paraId="4B2C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6" w:type="dxa"/>
            <w:tcBorders>
              <w:top w:val="single" w:color="auto" w:sz="4" w:space="0"/>
              <w:left w:val="single" w:color="auto" w:sz="4" w:space="0"/>
              <w:bottom w:val="single" w:color="auto" w:sz="4" w:space="0"/>
              <w:right w:val="single" w:color="auto" w:sz="4" w:space="0"/>
            </w:tcBorders>
            <w:vAlign w:val="center"/>
          </w:tcPr>
          <w:p w14:paraId="3F9900C1">
            <w:pPr>
              <w:pStyle w:val="11"/>
              <w:snapToGrid w:val="0"/>
              <w:spacing w:line="400" w:lineRule="exact"/>
              <w:jc w:val="center"/>
              <w:rPr>
                <w:rFonts w:hint="eastAsia" w:hAnsi="宋体" w:cs="宋体"/>
                <w:bCs/>
              </w:rPr>
            </w:pPr>
            <w:r>
              <w:rPr>
                <w:rFonts w:hint="eastAsia" w:hAnsi="宋体" w:cs="宋体"/>
                <w:bCs/>
              </w:rPr>
              <w:t>验收标准及要求</w:t>
            </w:r>
          </w:p>
        </w:tc>
        <w:tc>
          <w:tcPr>
            <w:tcW w:w="7890" w:type="dxa"/>
            <w:tcBorders>
              <w:top w:val="single" w:color="auto" w:sz="4" w:space="0"/>
              <w:left w:val="single" w:color="auto" w:sz="4" w:space="0"/>
              <w:bottom w:val="single" w:color="auto" w:sz="4" w:space="0"/>
              <w:right w:val="single" w:color="auto" w:sz="4" w:space="0"/>
            </w:tcBorders>
            <w:vAlign w:val="center"/>
          </w:tcPr>
          <w:p w14:paraId="6BBEC161">
            <w:pPr>
              <w:pStyle w:val="11"/>
              <w:snapToGrid w:val="0"/>
              <w:spacing w:line="400" w:lineRule="exact"/>
              <w:rPr>
                <w:rFonts w:hint="eastAsia" w:hAnsi="宋体" w:cs="宋体"/>
              </w:rPr>
            </w:pPr>
            <w:r>
              <w:rPr>
                <w:rFonts w:hint="eastAsia" w:hAnsi="宋体" w:cs="宋体"/>
              </w:rPr>
              <w:t>1.国家强制性技术标准及有关规定；</w:t>
            </w:r>
          </w:p>
          <w:p w14:paraId="100D9B34">
            <w:pPr>
              <w:pStyle w:val="11"/>
              <w:snapToGrid w:val="0"/>
              <w:spacing w:line="400" w:lineRule="exact"/>
              <w:rPr>
                <w:rFonts w:hint="eastAsia" w:hAnsi="宋体" w:cs="宋体"/>
              </w:rPr>
            </w:pPr>
            <w:r>
              <w:rPr>
                <w:rFonts w:hint="eastAsia" w:hAnsi="宋体" w:cs="宋体"/>
              </w:rPr>
              <w:t>2.交货验收时，采购人根据《广西壮族自治区政府采购项目履约验收管理办法》的规定，由采购人及中标人双方共同进行验收。必要时可委托国家认可的质量检测机构开展采购项目验收工作；</w:t>
            </w:r>
          </w:p>
          <w:p w14:paraId="7507E232">
            <w:pPr>
              <w:pStyle w:val="11"/>
              <w:snapToGrid w:val="0"/>
              <w:spacing w:line="400" w:lineRule="exact"/>
              <w:rPr>
                <w:rFonts w:hint="eastAsia" w:hAnsi="宋体" w:cs="宋体"/>
              </w:rPr>
            </w:pPr>
            <w:r>
              <w:rPr>
                <w:rFonts w:hint="eastAsia" w:hAnsi="宋体" w:cs="宋体"/>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p>
          <w:p w14:paraId="4A7D7CDE">
            <w:pPr>
              <w:pStyle w:val="11"/>
              <w:snapToGrid w:val="0"/>
              <w:spacing w:line="400" w:lineRule="exact"/>
              <w:rPr>
                <w:rFonts w:hint="eastAsia" w:hAnsi="宋体" w:cs="宋体"/>
                <w:bCs/>
              </w:rPr>
            </w:pPr>
            <w:r>
              <w:rPr>
                <w:rFonts w:hint="eastAsia" w:hAnsi="宋体" w:cs="宋体"/>
              </w:rPr>
              <w:t>4.验收费用：验收所产生的检验费及相关的全部费用均由中标人承担。</w:t>
            </w:r>
          </w:p>
        </w:tc>
      </w:tr>
      <w:tr w14:paraId="2CBDA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791EC6CD">
            <w:pPr>
              <w:pStyle w:val="11"/>
              <w:snapToGrid w:val="0"/>
              <w:spacing w:line="400" w:lineRule="exact"/>
              <w:rPr>
                <w:rFonts w:hint="eastAsia" w:hAnsi="宋体" w:cs="宋体"/>
                <w:b/>
                <w:bCs/>
              </w:rPr>
            </w:pPr>
            <w:r>
              <w:rPr>
                <w:rFonts w:hint="eastAsia" w:hAnsi="宋体" w:cs="宋体"/>
                <w:b/>
                <w:bCs/>
              </w:rPr>
              <w:t>四、资信要求</w:t>
            </w:r>
          </w:p>
        </w:tc>
      </w:tr>
      <w:tr w14:paraId="0BA9B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6" w:type="dxa"/>
            <w:tcBorders>
              <w:top w:val="single" w:color="auto" w:sz="4" w:space="0"/>
              <w:left w:val="single" w:color="auto" w:sz="4" w:space="0"/>
              <w:bottom w:val="single" w:color="auto" w:sz="4" w:space="0"/>
              <w:right w:val="single" w:color="auto" w:sz="4" w:space="0"/>
            </w:tcBorders>
            <w:vAlign w:val="center"/>
          </w:tcPr>
          <w:p w14:paraId="0356C519">
            <w:pPr>
              <w:pStyle w:val="11"/>
              <w:snapToGrid w:val="0"/>
              <w:spacing w:line="400" w:lineRule="exact"/>
              <w:jc w:val="center"/>
              <w:rPr>
                <w:rFonts w:hint="eastAsia" w:hAnsi="宋体" w:cs="宋体"/>
                <w:bCs/>
              </w:rPr>
            </w:pPr>
            <w:r>
              <w:rPr>
                <w:rFonts w:hint="eastAsia" w:hAnsi="宋体" w:cs="宋体"/>
                <w:bCs/>
              </w:rPr>
              <w:t>政策性加分条件（如有）</w:t>
            </w:r>
          </w:p>
        </w:tc>
        <w:tc>
          <w:tcPr>
            <w:tcW w:w="7890" w:type="dxa"/>
            <w:tcBorders>
              <w:top w:val="single" w:color="auto" w:sz="4" w:space="0"/>
              <w:left w:val="single" w:color="auto" w:sz="4" w:space="0"/>
              <w:bottom w:val="single" w:color="auto" w:sz="4" w:space="0"/>
              <w:right w:val="single" w:color="auto" w:sz="4" w:space="0"/>
            </w:tcBorders>
            <w:vAlign w:val="center"/>
          </w:tcPr>
          <w:p w14:paraId="32D4013C">
            <w:pPr>
              <w:pStyle w:val="11"/>
              <w:numPr>
                <w:ilvl w:val="0"/>
                <w:numId w:val="2"/>
              </w:numPr>
              <w:snapToGrid w:val="0"/>
              <w:spacing w:line="400" w:lineRule="exact"/>
              <w:rPr>
                <w:rFonts w:hint="eastAsia" w:hAnsi="宋体" w:cs="宋体"/>
              </w:rPr>
            </w:pPr>
            <w:r>
              <w:rPr>
                <w:rFonts w:hint="eastAsia" w:hAnsi="宋体" w:cs="宋体"/>
              </w:rPr>
              <w:t>根据《政府采购促进中小企业发展管理办法》（财库〔2020〕46 号）及《关于对政府采购领域扶持中小企业的政策进行调整的通知》（柳财采〔2022〕18 号）的规定，投标人在其投标文件中提供《中小企业声明函》；</w:t>
            </w:r>
          </w:p>
          <w:p w14:paraId="0A403AA2">
            <w:pPr>
              <w:spacing w:line="400" w:lineRule="exact"/>
              <w:rPr>
                <w:rFonts w:hint="eastAsia" w:ascii="宋体" w:hAnsi="宋体" w:cs="宋体"/>
                <w:b/>
                <w:bCs/>
                <w:szCs w:val="21"/>
              </w:rPr>
            </w:pPr>
            <w:r>
              <w:rPr>
                <w:rFonts w:hint="eastAsia" w:ascii="宋体" w:hAnsi="宋体" w:cs="宋体"/>
                <w:b/>
                <w:bCs/>
                <w:szCs w:val="21"/>
              </w:rPr>
              <w:t>注：（1）本项目标的对应的中小企业划分标准所属行业：</w:t>
            </w:r>
            <w:r>
              <w:rPr>
                <w:rFonts w:hint="eastAsia" w:ascii="宋体" w:hAnsi="宋体"/>
                <w:b/>
                <w:szCs w:val="21"/>
                <w:u w:val="single"/>
              </w:rPr>
              <w:t>“工业”。</w:t>
            </w:r>
          </w:p>
          <w:p w14:paraId="5D16188A">
            <w:pPr>
              <w:spacing w:line="400" w:lineRule="exact"/>
              <w:rPr>
                <w:rFonts w:hint="eastAsia" w:ascii="宋体" w:hAnsi="宋体" w:cs="宋体"/>
                <w:b/>
                <w:bCs/>
                <w:szCs w:val="21"/>
              </w:rPr>
            </w:pPr>
            <w:r>
              <w:rPr>
                <w:rFonts w:hint="eastAsia" w:ascii="宋体" w:hAnsi="宋体" w:cs="宋体"/>
                <w:b/>
                <w:bCs/>
                <w:szCs w:val="21"/>
              </w:rPr>
              <w:t>（2）中小企业划分有关标准根据工信部等部委发布的《关于印发中小企业划型标准规定的通知》（工信部联企业〔2011〕300号）确定；</w:t>
            </w:r>
          </w:p>
          <w:p w14:paraId="33B84F1C">
            <w:pPr>
              <w:spacing w:line="400" w:lineRule="exact"/>
              <w:rPr>
                <w:rFonts w:hint="eastAsia" w:ascii="宋体" w:hAnsi="宋体" w:cs="宋体"/>
                <w:b/>
                <w:bCs/>
                <w:szCs w:val="21"/>
              </w:rPr>
            </w:pPr>
            <w:r>
              <w:rPr>
                <w:rFonts w:hint="eastAsia" w:ascii="宋体" w:hAnsi="宋体" w:cs="宋体"/>
                <w:b/>
                <w:bCs/>
                <w:szCs w:val="21"/>
              </w:rPr>
              <w:t>（3）为方便投标人识别企业规模类型，投标人可使用工业和信息化部组织开发的中小企业规模类型自测小程序生成企业规模类型测试结果。</w:t>
            </w:r>
          </w:p>
          <w:p w14:paraId="40BFAB01">
            <w:pPr>
              <w:spacing w:line="380" w:lineRule="exact"/>
              <w:rPr>
                <w:rFonts w:hint="eastAsia" w:ascii="宋体" w:hAnsi="宋体" w:cs="宋体"/>
                <w:b/>
                <w:bCs/>
                <w:szCs w:val="21"/>
              </w:rPr>
            </w:pPr>
            <w:r>
              <w:rPr>
                <w:rFonts w:hint="eastAsia" w:ascii="宋体" w:hAnsi="宋体" w:cs="宋体"/>
                <w:b/>
                <w:bCs/>
                <w:szCs w:val="21"/>
              </w:rPr>
              <w:t>自测小程序链接：https://sme.miit.gov.cn/baosong/appweb/orgScale.html</w:t>
            </w:r>
          </w:p>
          <w:p w14:paraId="14102A4B">
            <w:pPr>
              <w:spacing w:line="38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《财政部、司法部关于政府采购支持监狱企业发展有关问题的通知》（财库〔2014〕68号）</w:t>
            </w:r>
            <w:r>
              <w:rPr>
                <w:rFonts w:hint="eastAsia" w:ascii="宋体" w:hAnsi="宋体" w:cs="宋体"/>
                <w:kern w:val="0"/>
                <w:szCs w:val="21"/>
              </w:rPr>
              <w:t>；</w:t>
            </w:r>
          </w:p>
          <w:p w14:paraId="4B334C6C">
            <w:pPr>
              <w:spacing w:line="380" w:lineRule="exact"/>
              <w:rPr>
                <w:rFonts w:hint="eastAsia" w:ascii="宋体" w:hAnsi="宋体" w:cs="宋体"/>
                <w:kern w:val="0"/>
                <w:szCs w:val="21"/>
              </w:rPr>
            </w:pPr>
            <w:r>
              <w:rPr>
                <w:rFonts w:hint="eastAsia" w:ascii="宋体" w:hAnsi="宋体" w:cs="宋体"/>
                <w:kern w:val="0"/>
                <w:szCs w:val="21"/>
              </w:rPr>
              <w:t>3.《财政部 民政部 中国残疾人联合会关于促进残疾人就业政府采购政策的通知》（财库〔2017〕141号）；</w:t>
            </w:r>
          </w:p>
          <w:p w14:paraId="0A07A886">
            <w:pPr>
              <w:spacing w:line="380" w:lineRule="exact"/>
              <w:rPr>
                <w:rFonts w:hint="eastAsia" w:ascii="宋体" w:hAnsi="宋体" w:cs="宋体"/>
                <w:szCs w:val="21"/>
                <w:lang w:val="zh-CN"/>
              </w:rPr>
            </w:pPr>
            <w:r>
              <w:rPr>
                <w:rFonts w:hint="eastAsia" w:ascii="宋体" w:hAnsi="宋体" w:cs="宋体"/>
                <w:szCs w:val="21"/>
              </w:rPr>
              <w:t>4.《财政部 发展改革委 生态环境部 市场监管总局</w:t>
            </w:r>
            <w:r>
              <w:rPr>
                <w:rFonts w:hint="eastAsia" w:ascii="宋体" w:hAnsi="宋体" w:cs="宋体"/>
                <w:szCs w:val="21"/>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62D8D5A0">
            <w:pPr>
              <w:spacing w:line="380" w:lineRule="exact"/>
              <w:rPr>
                <w:rFonts w:hint="eastAsia" w:ascii="宋体" w:hAnsi="宋体" w:cs="宋体"/>
                <w:szCs w:val="21"/>
              </w:rPr>
            </w:pPr>
            <w:r>
              <w:rPr>
                <w:rFonts w:hint="eastAsia" w:ascii="宋体" w:hAnsi="宋体" w:cs="宋体"/>
                <w:szCs w:val="21"/>
              </w:rPr>
              <w:t>5.财政部 生态环境部《关于印发环境标志产品政府采购品目清单的通知》（财库〔2019〕18号）；</w:t>
            </w:r>
          </w:p>
          <w:p w14:paraId="338836C3">
            <w:pPr>
              <w:spacing w:line="380" w:lineRule="exact"/>
              <w:rPr>
                <w:rFonts w:hint="eastAsia" w:ascii="宋体" w:hAnsi="宋体" w:cs="宋体"/>
                <w:szCs w:val="21"/>
              </w:rPr>
            </w:pPr>
            <w:r>
              <w:rPr>
                <w:rFonts w:hint="eastAsia" w:ascii="宋体" w:hAnsi="宋体" w:cs="宋体"/>
                <w:szCs w:val="21"/>
              </w:rPr>
              <w:t>6.财政部 发展改革委《关于印发节能产品政府采购品目清单的通知》（财库〔2019〕19号）。</w:t>
            </w:r>
          </w:p>
        </w:tc>
      </w:tr>
      <w:tr w14:paraId="416D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08C36B30">
            <w:pPr>
              <w:pStyle w:val="11"/>
              <w:snapToGrid w:val="0"/>
              <w:spacing w:line="400" w:lineRule="exact"/>
              <w:jc w:val="center"/>
              <w:rPr>
                <w:rFonts w:hint="eastAsia" w:hAnsi="宋体" w:cs="宋体"/>
                <w:bCs/>
              </w:rPr>
            </w:pPr>
            <w:r>
              <w:rPr>
                <w:rFonts w:hint="eastAsia" w:hAnsi="宋体" w:cs="宋体"/>
                <w:bCs/>
              </w:rPr>
              <w:t>质量管理、企业信用要求（如有）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4BF3C14A">
            <w:pPr>
              <w:spacing w:line="400" w:lineRule="exact"/>
              <w:rPr>
                <w:rFonts w:hint="eastAsia" w:ascii="宋体" w:hAnsi="宋体" w:cs="宋体"/>
                <w:szCs w:val="21"/>
              </w:rPr>
            </w:pPr>
            <w:r>
              <w:rPr>
                <w:rFonts w:hint="eastAsia" w:ascii="宋体" w:hAnsi="宋体" w:cs="宋体"/>
                <w:szCs w:val="21"/>
              </w:rPr>
              <w:t xml:space="preserve">1.投标人或其投标产品生产厂家具备有效的质量管理体系认证证书； </w:t>
            </w:r>
          </w:p>
          <w:p w14:paraId="614B1E34">
            <w:pPr>
              <w:spacing w:line="400" w:lineRule="exact"/>
              <w:rPr>
                <w:rFonts w:hint="eastAsia" w:ascii="宋体" w:hAnsi="宋体" w:cs="宋体"/>
                <w:szCs w:val="21"/>
              </w:rPr>
            </w:pPr>
            <w:r>
              <w:rPr>
                <w:rFonts w:hint="eastAsia" w:ascii="宋体" w:hAnsi="宋体" w:cs="宋体"/>
                <w:szCs w:val="21"/>
              </w:rPr>
              <w:t>2.投标人</w:t>
            </w:r>
            <w:r>
              <w:rPr>
                <w:rFonts w:hint="eastAsia"/>
              </w:rPr>
              <w:t>或其投标产品生产厂家</w:t>
            </w:r>
            <w:r>
              <w:rPr>
                <w:rFonts w:hint="eastAsia" w:ascii="宋体" w:hAnsi="宋体" w:cs="宋体"/>
                <w:szCs w:val="21"/>
              </w:rPr>
              <w:t xml:space="preserve">具备有效的环境管理体系认证证书； </w:t>
            </w:r>
          </w:p>
          <w:p w14:paraId="19D2A76E">
            <w:pPr>
              <w:spacing w:line="400" w:lineRule="exact"/>
              <w:rPr>
                <w:rFonts w:hint="eastAsia" w:ascii="宋体" w:hAnsi="宋体" w:cs="宋体"/>
                <w:bCs/>
                <w:kern w:val="0"/>
                <w:szCs w:val="21"/>
              </w:rPr>
            </w:pPr>
            <w:r>
              <w:rPr>
                <w:rFonts w:hint="eastAsia" w:ascii="宋体" w:hAnsi="宋体" w:cs="宋体"/>
                <w:szCs w:val="21"/>
              </w:rPr>
              <w:t>3.投标人</w:t>
            </w:r>
            <w:r>
              <w:rPr>
                <w:rFonts w:hint="eastAsia"/>
              </w:rPr>
              <w:t>或其投标产品生产厂家</w:t>
            </w:r>
            <w:r>
              <w:rPr>
                <w:rFonts w:hint="eastAsia" w:ascii="宋体" w:hAnsi="宋体" w:cs="宋体"/>
                <w:szCs w:val="21"/>
              </w:rPr>
              <w:t xml:space="preserve">具备有效的职业健康管理体系认证。  </w:t>
            </w:r>
          </w:p>
        </w:tc>
      </w:tr>
      <w:tr w14:paraId="128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06" w:type="dxa"/>
            <w:tcBorders>
              <w:top w:val="single" w:color="auto" w:sz="4" w:space="0"/>
              <w:left w:val="single" w:color="auto" w:sz="4" w:space="0"/>
              <w:bottom w:val="single" w:color="auto" w:sz="4" w:space="0"/>
              <w:right w:val="single" w:color="auto" w:sz="4" w:space="0"/>
            </w:tcBorders>
            <w:vAlign w:val="center"/>
          </w:tcPr>
          <w:p w14:paraId="306CF4D3">
            <w:pPr>
              <w:pStyle w:val="11"/>
              <w:snapToGrid w:val="0"/>
              <w:spacing w:line="400" w:lineRule="exact"/>
              <w:jc w:val="center"/>
              <w:rPr>
                <w:rFonts w:hint="eastAsia" w:hAnsi="宋体" w:cs="宋体"/>
                <w:bCs/>
              </w:rPr>
            </w:pPr>
            <w:r>
              <w:rPr>
                <w:rFonts w:hint="eastAsia" w:hAnsi="宋体" w:cs="宋体"/>
                <w:bCs/>
              </w:rPr>
              <w:t>能力或业绩要求（如有）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5EF906E9">
            <w:pPr>
              <w:pStyle w:val="11"/>
              <w:snapToGrid w:val="0"/>
              <w:spacing w:line="400" w:lineRule="exact"/>
              <w:rPr>
                <w:rFonts w:hint="eastAsia" w:hAnsi="宋体" w:cs="宋体"/>
                <w:bCs/>
              </w:rPr>
            </w:pPr>
            <w:r>
              <w:rPr>
                <w:rFonts w:hint="eastAsia" w:ascii="Arial" w:hAnsi="Arial" w:cs="Arial"/>
              </w:rPr>
              <w:t>投标人2021</w:t>
            </w:r>
            <w:r>
              <w:rPr>
                <w:rFonts w:ascii="Arial" w:hAnsi="Arial" w:cs="Arial"/>
              </w:rPr>
              <w:t>年</w:t>
            </w:r>
            <w:r>
              <w:rPr>
                <w:rFonts w:hint="eastAsia" w:ascii="Arial" w:hAnsi="Arial" w:cs="Arial"/>
              </w:rPr>
              <w:t>6</w:t>
            </w:r>
            <w:r>
              <w:rPr>
                <w:rFonts w:ascii="Arial" w:hAnsi="Arial" w:cs="Arial"/>
              </w:rPr>
              <w:t>月1日以来完成的类似项目业绩。</w:t>
            </w:r>
          </w:p>
        </w:tc>
      </w:tr>
    </w:tbl>
    <w:p w14:paraId="6030501E">
      <w:pPr>
        <w:sectPr>
          <w:pgSz w:w="11906" w:h="16838"/>
          <w:pgMar w:top="1440" w:right="1440" w:bottom="1440" w:left="1440" w:header="851" w:footer="992" w:gutter="0"/>
          <w:cols w:space="720" w:num="1"/>
          <w:docGrid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
        <w:gridCol w:w="980"/>
        <w:gridCol w:w="762"/>
        <w:gridCol w:w="7062"/>
      </w:tblGrid>
      <w:tr w14:paraId="0DF8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339" w:type="dxa"/>
            <w:gridSpan w:val="4"/>
            <w:vAlign w:val="center"/>
          </w:tcPr>
          <w:p w14:paraId="7D4CFFA9">
            <w:pPr>
              <w:widowControl/>
              <w:jc w:val="center"/>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3分标技术参数要求</w:t>
            </w:r>
          </w:p>
        </w:tc>
      </w:tr>
      <w:tr w14:paraId="176D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339" w:type="dxa"/>
            <w:gridSpan w:val="4"/>
            <w:vAlign w:val="center"/>
          </w:tcPr>
          <w:p w14:paraId="238098AD">
            <w:pPr>
              <w:widowControl/>
              <w:rPr>
                <w:rFonts w:hint="eastAsia" w:ascii="宋体" w:hAnsi="宋体" w:cstheme="minorEastAsia"/>
                <w:b/>
                <w:kern w:val="0"/>
                <w:szCs w:val="21"/>
                <w:lang w:bidi="ar"/>
              </w:rPr>
            </w:pPr>
            <w:r>
              <w:rPr>
                <w:rFonts w:hint="eastAsia" w:asciiTheme="minorEastAsia" w:hAnsiTheme="minorEastAsia" w:cstheme="minorEastAsia"/>
                <w:b/>
                <w:kern w:val="0"/>
                <w:sz w:val="28"/>
                <w:szCs w:val="28"/>
                <w:lang w:bidi="ar"/>
              </w:rPr>
              <w:t>3分标核心产品：项号36：支气管镜仿真培训模拟器</w:t>
            </w:r>
          </w:p>
        </w:tc>
      </w:tr>
      <w:tr w14:paraId="2A3E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439" w:type="dxa"/>
            <w:vAlign w:val="center"/>
          </w:tcPr>
          <w:p w14:paraId="6DCE45C7">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项号</w:t>
            </w:r>
          </w:p>
        </w:tc>
        <w:tc>
          <w:tcPr>
            <w:tcW w:w="988" w:type="dxa"/>
            <w:vAlign w:val="center"/>
          </w:tcPr>
          <w:p w14:paraId="1D57CA19">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货物名称</w:t>
            </w:r>
          </w:p>
        </w:tc>
        <w:tc>
          <w:tcPr>
            <w:tcW w:w="767" w:type="dxa"/>
            <w:vAlign w:val="center"/>
          </w:tcPr>
          <w:p w14:paraId="4BF0DCA6">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数量</w:t>
            </w:r>
          </w:p>
        </w:tc>
        <w:tc>
          <w:tcPr>
            <w:tcW w:w="7142" w:type="dxa"/>
            <w:tcBorders>
              <w:bottom w:val="single" w:color="auto" w:sz="4" w:space="0"/>
            </w:tcBorders>
            <w:vAlign w:val="center"/>
          </w:tcPr>
          <w:p w14:paraId="724DB5A7">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技术参数要求</w:t>
            </w:r>
          </w:p>
        </w:tc>
      </w:tr>
      <w:tr w14:paraId="21374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5" w:hRule="atLeast"/>
        </w:trPr>
        <w:tc>
          <w:tcPr>
            <w:tcW w:w="439" w:type="dxa"/>
            <w:vAlign w:val="center"/>
          </w:tcPr>
          <w:p w14:paraId="41FFF05E">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36</w:t>
            </w:r>
          </w:p>
        </w:tc>
        <w:tc>
          <w:tcPr>
            <w:tcW w:w="988" w:type="dxa"/>
            <w:tcBorders>
              <w:top w:val="single" w:color="auto" w:sz="4" w:space="0"/>
              <w:left w:val="single" w:color="auto" w:sz="4" w:space="0"/>
              <w:bottom w:val="single" w:color="auto" w:sz="4" w:space="0"/>
              <w:right w:val="single" w:color="auto" w:sz="4" w:space="0"/>
            </w:tcBorders>
            <w:shd w:val="clear" w:color="auto" w:fill="auto"/>
            <w:vAlign w:val="center"/>
          </w:tcPr>
          <w:p w14:paraId="12B51C2B">
            <w:pPr>
              <w:widowControl/>
              <w:jc w:val="left"/>
              <w:rPr>
                <w:rFonts w:hint="eastAsia" w:ascii="宋体" w:hAnsi="宋体" w:cstheme="minorEastAsia"/>
                <w:kern w:val="0"/>
                <w:szCs w:val="21"/>
                <w:lang w:bidi="ar"/>
              </w:rPr>
            </w:pPr>
            <w:r>
              <w:rPr>
                <w:rFonts w:ascii="宋体" w:hAnsi="宋体" w:cs="Calibri"/>
                <w:kern w:val="0"/>
                <w:szCs w:val="21"/>
              </w:rPr>
              <w:t>支气管镜仿真培训模拟</w:t>
            </w:r>
            <w:r>
              <w:rPr>
                <w:rFonts w:hint="eastAsia" w:ascii="宋体" w:hAnsi="宋体" w:cs="宋体"/>
                <w:kern w:val="0"/>
                <w:szCs w:val="21"/>
              </w:rPr>
              <w:t>器</w:t>
            </w:r>
          </w:p>
        </w:tc>
        <w:tc>
          <w:tcPr>
            <w:tcW w:w="767" w:type="dxa"/>
            <w:tcBorders>
              <w:top w:val="single" w:color="auto" w:sz="4" w:space="0"/>
              <w:left w:val="nil"/>
              <w:bottom w:val="single" w:color="auto" w:sz="4" w:space="0"/>
              <w:right w:val="single" w:color="auto" w:sz="4" w:space="0"/>
            </w:tcBorders>
            <w:shd w:val="clear" w:color="auto" w:fill="auto"/>
            <w:vAlign w:val="center"/>
          </w:tcPr>
          <w:p w14:paraId="4906652D">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142" w:type="dxa"/>
            <w:shd w:val="clear" w:color="auto" w:fill="auto"/>
          </w:tcPr>
          <w:p w14:paraId="15645B1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一、主要技术参数</w:t>
            </w:r>
          </w:p>
          <w:p w14:paraId="4607893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1、主界面：登录入口提供管理员与学员两种登录方式</w:t>
            </w:r>
          </w:p>
          <w:p w14:paraId="2A274F6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1.1管理员端可进行班级和用户的添加、修改以及删除操作，可查看所有学员的考核报告</w:t>
            </w:r>
          </w:p>
          <w:p w14:paraId="411F0A0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▲1.2支持建立编辑培训课程，可根据不同的培训需要创建不同的小组和用户。并允许修改用户训练课程的考核细节，如手术最大可进行时间，并发症出现的管理等</w:t>
            </w:r>
          </w:p>
          <w:p w14:paraId="5ECF701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1.3具有多媒体培训资料，包括真实手术视频、动画、文字、图片等</w:t>
            </w:r>
          </w:p>
          <w:p w14:paraId="570B6D15">
            <w:pPr>
              <w:widowControl/>
              <w:ind w:right="458" w:rightChars="218"/>
              <w:jc w:val="left"/>
              <w:rPr>
                <w:rFonts w:hint="eastAsia" w:ascii="宋体" w:hAnsi="宋体" w:cstheme="minorEastAsia"/>
                <w:kern w:val="0"/>
                <w:szCs w:val="21"/>
                <w:lang w:bidi="ar"/>
              </w:rPr>
            </w:pPr>
            <w:r>
              <w:rPr>
                <w:rFonts w:hint="eastAsia" w:ascii="宋体" w:hAnsi="宋体" w:cstheme="minorEastAsia"/>
                <w:kern w:val="0"/>
                <w:szCs w:val="21"/>
                <w:lang w:bidi="ar"/>
              </w:rPr>
              <w:t>1.4学员端提供课程信息和考核专区内容，系统至少提供但不限于技能训练、考核专区、病例实战、考核记录等功能</w:t>
            </w:r>
          </w:p>
          <w:p w14:paraId="6C6492D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1.5学员端可查看已训练任务实时录像，考核成绩，并生成评估报告</w:t>
            </w:r>
          </w:p>
          <w:p w14:paraId="69626EF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2、技能训练功能要求： </w:t>
            </w:r>
          </w:p>
          <w:p w14:paraId="0047D55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可实现解剖识别：①支气管镜到达肺各段支的时候，镜下的实时画面能在对应位置显示其名称；②肺各段支标准命名；③镜下画面能全屏显示；④横断面、矢状面、冠状面CT图片随镜头实时更新；⑤具备三维支气管全屏显示；⑥可显示镜下视野和三维示意图；⑦具备三维支气管中实时显示镜头先端的位置；⑧镜下支气管可进行透明操作</w:t>
            </w:r>
          </w:p>
          <w:p w14:paraId="5ED1569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2.1.1镜下解剖结构能显示上呼吸道所有解剖结构和五级支气管</w:t>
            </w:r>
          </w:p>
          <w:p w14:paraId="1FF461E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2.1.2镜下淋巴组的识别，包括2L、2R、3P、4L、4R、7、8、10L、10R、11L、11Rs、12L、12R常规穿刺的淋巴组。</w:t>
            </w:r>
          </w:p>
          <w:p w14:paraId="7D5C00B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2.1.3镜下血管的解剖识别至少包括主动脉、肺动脉、肺静脉、上腔静脉、下腔静脉、奇静脉、心室、心房、头臂静脉、锁骨下静脉、锁骨下动脉、头臂干无名动脉、颈总动脉等</w:t>
            </w:r>
          </w:p>
          <w:p w14:paraId="4D93DEE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2.1.4三维支气管模型包括：支气管树、甲状软骨、环状软骨、支气管等.</w:t>
            </w:r>
          </w:p>
          <w:p w14:paraId="3CDBBC0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2.1.5 三维视图有选择性的展示组织结构，可进行旋转、平移、放大、缩小等操作</w:t>
            </w:r>
          </w:p>
          <w:p w14:paraId="54C85C0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▲2.2具备规范性顺序检查模块，支气管镜可在气道内的行进方式以及完整检查一遍支气管的路线功能。</w:t>
            </w:r>
          </w:p>
          <w:p w14:paraId="257EBD4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▲2.3病例进行中可随时查看CT图像，各解剖结构的CT图片根据所切换的识别部位应用对应的CT数据。</w:t>
            </w:r>
          </w:p>
          <w:p w14:paraId="0A300CA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2.4能进行定点检查，对解剖位置进行重复定点选择训练。并能进行如下操作：①在所有肺段支中任选一处；②水平位CT图像实时变化；③在操作中有计时功能；④三维支气管中有线路指引。</w:t>
            </w:r>
          </w:p>
          <w:p w14:paraId="7061736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2.5具备拍照记录功能：训练过程中能进行拍照、冻结、拍摄位置标记等，拍摄位置可在三维支气管对应位置显示。</w:t>
            </w:r>
          </w:p>
          <w:p w14:paraId="6594F40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2.6界面至少具备白光、荧光、窄谱三种显示状态，可进行实时切换，镜头到达病变处能显示病变解剖位置及病理结果。</w:t>
            </w:r>
          </w:p>
          <w:p w14:paraId="1E61D68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2.6系统具有力反馈，可模拟病人吞咽、呕吐、咳嗽、活检时的不同组织张力及反应</w:t>
            </w:r>
          </w:p>
          <w:p w14:paraId="2A70D9A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▲2.7具备超声支气管镜引导下经支气管透壁针吸活检术（EBUS-TBNA）训练功能。</w:t>
            </w:r>
          </w:p>
          <w:p w14:paraId="465AD43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▲2.8 具备活检、刷检、灌洗训练功能</w:t>
            </w:r>
          </w:p>
          <w:p w14:paraId="258C98E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▲2.9 具备冷冻、异物取出、球囊扩张、支架置入、高频电训练模块。</w:t>
            </w:r>
          </w:p>
          <w:p w14:paraId="1DD1A11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3、具备考核功能，并且能进行保存、下载、历史记录查看和分析等操作。</w:t>
            </w:r>
          </w:p>
          <w:p w14:paraId="0E1ECA4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3.1考核项目至少包括：解剖、操作完成时间、拍照位置是否准确、超声穿刺等。</w:t>
            </w:r>
          </w:p>
          <w:p w14:paraId="4E42B91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3.2考核评估模块中，评分项的权重可自定义设置各权重之间的比例</w:t>
            </w:r>
          </w:p>
          <w:p w14:paraId="70C49DF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4、具备病例实战训练功能。</w:t>
            </w:r>
          </w:p>
          <w:p w14:paraId="41EE214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至少设置四种常见病变（大出血、良性狭窄、恶性狭窄、冷冻活检）和一种呼吸类传染病（新冠肺炎）作为训练学员掌握基本支气管经操作技能的实战演练。</w:t>
            </w:r>
          </w:p>
          <w:p w14:paraId="677F219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二、配置需求</w:t>
            </w:r>
          </w:p>
          <w:p w14:paraId="1339842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虚拟支气管镜一套：采用真实支气管镜定制，重量、手感同临床使用相同。</w:t>
            </w:r>
          </w:p>
          <w:p w14:paraId="209009F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▲仿真气道模型一套：模型按真实</w:t>
            </w:r>
            <w:r>
              <w:rPr>
                <w:rFonts w:ascii="宋体" w:hAnsi="宋体" w:cstheme="minorEastAsia"/>
                <w:kern w:val="0"/>
                <w:szCs w:val="21"/>
                <w:lang w:bidi="ar"/>
              </w:rPr>
              <w:t>CT</w:t>
            </w:r>
            <w:r>
              <w:rPr>
                <w:rFonts w:hint="eastAsia" w:ascii="宋体" w:hAnsi="宋体" w:cstheme="minorEastAsia"/>
                <w:kern w:val="0"/>
                <w:szCs w:val="21"/>
                <w:lang w:bidi="ar"/>
              </w:rPr>
              <w:t>数据重建，硅胶材质制作，具备</w:t>
            </w:r>
            <w:r>
              <w:rPr>
                <w:rFonts w:ascii="宋体" w:hAnsi="宋体" w:cstheme="minorEastAsia"/>
                <w:kern w:val="0"/>
                <w:szCs w:val="21"/>
                <w:lang w:bidi="ar"/>
              </w:rPr>
              <w:t>5</w:t>
            </w:r>
            <w:r>
              <w:rPr>
                <w:rFonts w:hint="eastAsia" w:ascii="宋体" w:hAnsi="宋体" w:cstheme="minorEastAsia"/>
                <w:kern w:val="0"/>
                <w:szCs w:val="21"/>
                <w:lang w:bidi="ar"/>
              </w:rPr>
              <w:t>级支气管，模型和主机系统软件中的三维数据完全匹配。</w:t>
            </w:r>
          </w:p>
          <w:p w14:paraId="50DAFFE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主机及显示屏</w:t>
            </w:r>
          </w:p>
          <w:p w14:paraId="7C97289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1）CPU：性能不低于i5-12500  </w:t>
            </w:r>
          </w:p>
          <w:p w14:paraId="4DFCF82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2）GPU：性能不低于RX6500</w:t>
            </w:r>
          </w:p>
          <w:p w14:paraId="7CC7EAB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3）内存：≥8GB  </w:t>
            </w:r>
          </w:p>
          <w:p w14:paraId="1C8481C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4）硬盘：≥512GB         </w:t>
            </w:r>
          </w:p>
          <w:p w14:paraId="2274006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5）电源：220V </w:t>
            </w:r>
          </w:p>
          <w:p w14:paraId="5740E12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6）触摸显示屏：≥23.8英寸</w:t>
            </w:r>
          </w:p>
          <w:p w14:paraId="6F09D48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7）触屏方式：≥10点触控 </w:t>
            </w:r>
          </w:p>
          <w:p w14:paraId="672A3C1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8）接口：至少包含HDMI、VGA、DP、USB </w:t>
            </w:r>
          </w:p>
          <w:p w14:paraId="5A4F44E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台车</w:t>
            </w:r>
          </w:p>
          <w:p w14:paraId="2E12F48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1)升降：≥150mm</w:t>
            </w:r>
          </w:p>
          <w:p w14:paraId="283C027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2）移动：万向轮</w:t>
            </w:r>
          </w:p>
        </w:tc>
      </w:tr>
      <w:tr w14:paraId="5656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4" w:hRule="atLeast"/>
        </w:trPr>
        <w:tc>
          <w:tcPr>
            <w:tcW w:w="439" w:type="dxa"/>
            <w:vAlign w:val="center"/>
          </w:tcPr>
          <w:p w14:paraId="60EFC0F3">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37</w:t>
            </w:r>
          </w:p>
        </w:tc>
        <w:tc>
          <w:tcPr>
            <w:tcW w:w="988" w:type="dxa"/>
            <w:tcBorders>
              <w:top w:val="nil"/>
              <w:left w:val="single" w:color="auto" w:sz="4" w:space="0"/>
              <w:bottom w:val="single" w:color="auto" w:sz="4" w:space="0"/>
              <w:right w:val="single" w:color="auto" w:sz="4" w:space="0"/>
            </w:tcBorders>
            <w:shd w:val="clear" w:color="auto" w:fill="auto"/>
            <w:vAlign w:val="center"/>
          </w:tcPr>
          <w:p w14:paraId="68CA0F21">
            <w:pPr>
              <w:widowControl/>
              <w:jc w:val="left"/>
              <w:rPr>
                <w:rFonts w:hint="eastAsia" w:ascii="宋体" w:hAnsi="宋体" w:cstheme="minorEastAsia"/>
                <w:kern w:val="0"/>
                <w:szCs w:val="21"/>
                <w:lang w:bidi="ar"/>
              </w:rPr>
            </w:pPr>
            <w:r>
              <w:rPr>
                <w:rFonts w:hint="eastAsia" w:ascii="宋体" w:hAnsi="宋体" w:cs="宋体"/>
                <w:kern w:val="0"/>
                <w:szCs w:val="21"/>
              </w:rPr>
              <w:t>胸腔镜模拟训练器</w:t>
            </w:r>
          </w:p>
        </w:tc>
        <w:tc>
          <w:tcPr>
            <w:tcW w:w="767" w:type="dxa"/>
            <w:tcBorders>
              <w:top w:val="nil"/>
              <w:left w:val="nil"/>
              <w:bottom w:val="single" w:color="auto" w:sz="4" w:space="0"/>
              <w:right w:val="single" w:color="auto" w:sz="4" w:space="0"/>
            </w:tcBorders>
            <w:shd w:val="clear" w:color="auto" w:fill="auto"/>
            <w:vAlign w:val="center"/>
          </w:tcPr>
          <w:p w14:paraId="2AB35190">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142" w:type="dxa"/>
            <w:shd w:val="clear" w:color="auto" w:fill="auto"/>
          </w:tcPr>
          <w:p w14:paraId="3C4CBC5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成人侧卧位半身模型，具有锁骨、肋骨及胸腔骨骼结构，可进行真实胸腔镜插入训练。</w:t>
            </w:r>
          </w:p>
          <w:p w14:paraId="66E2CDF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模拟肺叶与真实肺解剖结构一致，具有肺动、静脉和支气管系统及各解剖结构相对空间位置、比邻关系。</w:t>
            </w:r>
          </w:p>
          <w:p w14:paraId="2605686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可模拟肺叶切除时心脏跳动下的肺循环系统的搏动。</w:t>
            </w:r>
          </w:p>
          <w:p w14:paraId="3884380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模拟肺叶触摸手感与人体组织相近，支持电钩、超声刀、吻合器等真实手术器械操作。</w:t>
            </w:r>
          </w:p>
          <w:p w14:paraId="436625E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具有真实的血管鞘解剖结构，可实现肺动、静脉血管鞘分离及血管阻断及结扎等手术操作训练，具有真实力反馈。</w:t>
            </w:r>
          </w:p>
          <w:p w14:paraId="40C8119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可放入肺部模块，进行肺叶切除术训练。</w:t>
            </w:r>
          </w:p>
        </w:tc>
      </w:tr>
      <w:tr w14:paraId="4159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439" w:type="dxa"/>
            <w:vAlign w:val="center"/>
          </w:tcPr>
          <w:p w14:paraId="5434913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38</w:t>
            </w:r>
          </w:p>
        </w:tc>
        <w:tc>
          <w:tcPr>
            <w:tcW w:w="988" w:type="dxa"/>
            <w:tcBorders>
              <w:top w:val="nil"/>
              <w:left w:val="single" w:color="auto" w:sz="4" w:space="0"/>
              <w:bottom w:val="single" w:color="auto" w:sz="4" w:space="0"/>
              <w:right w:val="single" w:color="auto" w:sz="4" w:space="0"/>
            </w:tcBorders>
            <w:shd w:val="clear" w:color="auto" w:fill="auto"/>
            <w:vAlign w:val="center"/>
          </w:tcPr>
          <w:p w14:paraId="7FB3910A">
            <w:pPr>
              <w:widowControl/>
              <w:jc w:val="left"/>
              <w:rPr>
                <w:rFonts w:hint="eastAsia" w:ascii="宋体" w:hAnsi="宋体" w:cstheme="minorEastAsia"/>
                <w:kern w:val="0"/>
                <w:szCs w:val="21"/>
                <w:lang w:bidi="ar"/>
              </w:rPr>
            </w:pPr>
            <w:r>
              <w:rPr>
                <w:rFonts w:hint="eastAsia" w:ascii="宋体" w:hAnsi="宋体" w:cs="宋体"/>
                <w:kern w:val="0"/>
                <w:szCs w:val="21"/>
              </w:rPr>
              <w:t>膝关节腔镜</w:t>
            </w:r>
          </w:p>
        </w:tc>
        <w:tc>
          <w:tcPr>
            <w:tcW w:w="767" w:type="dxa"/>
            <w:tcBorders>
              <w:top w:val="nil"/>
              <w:left w:val="nil"/>
              <w:bottom w:val="single" w:color="auto" w:sz="4" w:space="0"/>
              <w:right w:val="single" w:color="auto" w:sz="4" w:space="0"/>
            </w:tcBorders>
            <w:shd w:val="clear" w:color="auto" w:fill="auto"/>
            <w:vAlign w:val="center"/>
          </w:tcPr>
          <w:p w14:paraId="26D03754">
            <w:pPr>
              <w:widowControl/>
              <w:jc w:val="left"/>
              <w:rPr>
                <w:rFonts w:hint="eastAsia" w:ascii="宋体" w:hAnsi="宋体" w:cstheme="minorEastAsia"/>
                <w:kern w:val="0"/>
                <w:szCs w:val="21"/>
                <w:lang w:bidi="ar"/>
              </w:rPr>
            </w:pPr>
            <w:r>
              <w:rPr>
                <w:rFonts w:ascii="宋体" w:hAnsi="宋体" w:cs="Calibri"/>
                <w:kern w:val="0"/>
                <w:szCs w:val="21"/>
              </w:rPr>
              <w:t>1</w:t>
            </w:r>
            <w:r>
              <w:rPr>
                <w:rFonts w:hint="eastAsia" w:ascii="宋体" w:hAnsi="宋体" w:cs="Calibri"/>
                <w:kern w:val="0"/>
                <w:szCs w:val="21"/>
              </w:rPr>
              <w:t>套</w:t>
            </w:r>
          </w:p>
        </w:tc>
        <w:tc>
          <w:tcPr>
            <w:tcW w:w="7142" w:type="dxa"/>
            <w:shd w:val="clear" w:color="auto" w:fill="auto"/>
          </w:tcPr>
          <w:p w14:paraId="1CE74D6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模型为成人膝部，内部解剖结构仿真，包括股骨、胫骨、腓骨、髌骨、髌骨脂肪垫、前后交叉韧带、内外侧半月板、肌腱以及完整的膝关节腔等。</w:t>
            </w:r>
          </w:p>
          <w:p w14:paraId="7090877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膝关节可根据不同病变检查的手术操作入路不同而自由弯曲成不同的角度。</w:t>
            </w:r>
          </w:p>
          <w:p w14:paraId="73A9920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模型配有专用固定器，可稳固的固定在桌面上用于操作练习。</w:t>
            </w:r>
          </w:p>
          <w:p w14:paraId="4B551B5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可以支持多种术式的关节镜手术操作练习，手术入路可根据病变部位不同自行选择。</w:t>
            </w:r>
          </w:p>
          <w:p w14:paraId="1B06ED5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 皮肤和肌肉覆盖可拆卸，骨骼和韧带可以作为一个功能性膝关节进行讲解。</w:t>
            </w:r>
          </w:p>
          <w:p w14:paraId="73CBEB6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可选配各种不同的病变配件进行检查：髌骨撕裂、弧形半月板(桶柄)撕裂、半月板与皮瓣撕裂、半月板纵裂。</w:t>
            </w:r>
          </w:p>
          <w:p w14:paraId="7113F07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 骨骼、韧带、肌腱、半月板等解剖结构均可更换。</w:t>
            </w:r>
          </w:p>
          <w:p w14:paraId="24FC074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8、训练模块至少包含：半月板修剪模块、打结练习模块、探针迷宫模块、平面搬运模块、立体搬运模块、探针练习模块、肩盂缝合模块、半月板缝合模块。</w:t>
            </w:r>
          </w:p>
          <w:p w14:paraId="73AFFBB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 膝关节镜模拟器至少包含： 1个带光源的高清直杆内窥镜，3把相关器械。</w:t>
            </w:r>
          </w:p>
        </w:tc>
      </w:tr>
    </w:tbl>
    <w:p w14:paraId="2A2598A8">
      <w:pPr>
        <w:sectPr>
          <w:pgSz w:w="11906" w:h="16838"/>
          <w:pgMar w:top="1440" w:right="1440" w:bottom="1440" w:left="1440" w:header="851" w:footer="992" w:gutter="0"/>
          <w:cols w:space="720" w:num="1"/>
          <w:docGrid w:linePitch="312" w:charSpace="0"/>
        </w:sectPr>
      </w:pPr>
    </w:p>
    <w:tbl>
      <w:tblPr>
        <w:tblStyle w:val="17"/>
        <w:tblpPr w:leftFromText="180" w:rightFromText="180" w:vertAnchor="text" w:horzAnchor="page" w:tblpX="1399" w:tblpY="247"/>
        <w:tblOverlap w:val="never"/>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890"/>
      </w:tblGrid>
      <w:tr w14:paraId="6440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1DA1D3A2">
            <w:pPr>
              <w:spacing w:line="400" w:lineRule="exact"/>
              <w:jc w:val="center"/>
              <w:rPr>
                <w:rFonts w:hint="eastAsia" w:ascii="宋体" w:hAnsi="宋体" w:cs="宋体"/>
                <w:szCs w:val="21"/>
              </w:rPr>
            </w:pPr>
            <w:r>
              <w:rPr>
                <w:rFonts w:hint="eastAsia" w:asciiTheme="minorEastAsia" w:hAnsiTheme="minorEastAsia" w:cstheme="minorEastAsia"/>
                <w:b/>
                <w:kern w:val="0"/>
                <w:sz w:val="28"/>
                <w:szCs w:val="28"/>
                <w:lang w:bidi="ar"/>
              </w:rPr>
              <w:t>3分标商务要求</w:t>
            </w:r>
          </w:p>
        </w:tc>
      </w:tr>
      <w:tr w14:paraId="4548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6" w:type="dxa"/>
            <w:tcBorders>
              <w:top w:val="single" w:color="auto" w:sz="4" w:space="0"/>
              <w:left w:val="single" w:color="auto" w:sz="4" w:space="0"/>
              <w:bottom w:val="single" w:color="auto" w:sz="4" w:space="0"/>
              <w:right w:val="single" w:color="auto" w:sz="4" w:space="0"/>
            </w:tcBorders>
            <w:vAlign w:val="center"/>
          </w:tcPr>
          <w:p w14:paraId="1FAA977B">
            <w:pPr>
              <w:pStyle w:val="11"/>
              <w:snapToGrid w:val="0"/>
              <w:spacing w:line="400" w:lineRule="exact"/>
              <w:jc w:val="center"/>
              <w:rPr>
                <w:rFonts w:hint="eastAsia" w:hAnsi="宋体" w:cs="宋体"/>
                <w:bCs/>
              </w:rPr>
            </w:pPr>
            <w:r>
              <w:rPr>
                <w:rFonts w:hint="eastAsia" w:hAnsi="宋体" w:cs="宋体"/>
                <w:bCs/>
              </w:rPr>
              <w:t>基本要求</w:t>
            </w:r>
          </w:p>
        </w:tc>
        <w:tc>
          <w:tcPr>
            <w:tcW w:w="7890" w:type="dxa"/>
            <w:tcBorders>
              <w:top w:val="single" w:color="auto" w:sz="4" w:space="0"/>
              <w:left w:val="single" w:color="auto" w:sz="4" w:space="0"/>
              <w:bottom w:val="single" w:color="auto" w:sz="4" w:space="0"/>
              <w:right w:val="single" w:color="auto" w:sz="4" w:space="0"/>
            </w:tcBorders>
            <w:vAlign w:val="center"/>
          </w:tcPr>
          <w:p w14:paraId="6E82143C">
            <w:pPr>
              <w:snapToGrid w:val="0"/>
              <w:spacing w:line="400" w:lineRule="exact"/>
              <w:rPr>
                <w:rFonts w:hint="eastAsia" w:ascii="宋体" w:hAnsi="宋体" w:cs="宋体"/>
                <w:szCs w:val="21"/>
              </w:rPr>
            </w:pPr>
            <w:r>
              <w:rPr>
                <w:rFonts w:hint="eastAsia" w:ascii="宋体" w:hAnsi="宋体" w:cs="宋体"/>
                <w:szCs w:val="21"/>
              </w:rPr>
              <w:t>1.本项目投标报价包括货物及货物运抵指定交付地点的各种费用、随配附件、备品备件、易损件、专用工具、安装调试、技术培训、技术资料、包装、售后服务、保险费、税金、验收检验及其他所有成本费用的总和；</w:t>
            </w:r>
          </w:p>
          <w:p w14:paraId="0F4F37BD">
            <w:pPr>
              <w:spacing w:line="400" w:lineRule="exact"/>
              <w:rPr>
                <w:rFonts w:hint="eastAsia" w:ascii="宋体" w:hAnsi="宋体" w:cs="宋体"/>
                <w:szCs w:val="21"/>
              </w:rPr>
            </w:pPr>
            <w:r>
              <w:rPr>
                <w:rFonts w:hint="eastAsia" w:ascii="宋体" w:hAnsi="宋体" w:cs="宋体"/>
                <w:szCs w:val="21"/>
              </w:rPr>
              <w:t>2.投标人应保证投标产品涉及到的知识产权和所提供的相关技术资料是合法取得，不会因为采购人的使用而被责令停止使用、追偿或要求赔偿损失，如出现此情况，一切经济和法律责任均由投标人承担；</w:t>
            </w:r>
          </w:p>
          <w:p w14:paraId="6D19FD89">
            <w:pPr>
              <w:spacing w:line="400" w:lineRule="exact"/>
              <w:rPr>
                <w:rFonts w:hint="eastAsia" w:ascii="宋体" w:hAnsi="宋体" w:cs="宋体"/>
                <w:szCs w:val="21"/>
              </w:rPr>
            </w:pPr>
            <w:r>
              <w:rPr>
                <w:rFonts w:hint="eastAsia" w:ascii="宋体" w:hAnsi="宋体" w:cs="宋体"/>
                <w:szCs w:val="21"/>
              </w:rPr>
              <w:t>3.投标人应列明详细的产品及相关产品及部件名称、品牌、型号规格、产地和生产厂家及提供完整的技术文件；</w:t>
            </w:r>
          </w:p>
          <w:p w14:paraId="19207399">
            <w:pPr>
              <w:spacing w:line="400" w:lineRule="exact"/>
              <w:rPr>
                <w:rFonts w:hint="eastAsia" w:ascii="宋体" w:hAnsi="宋体" w:cs="宋体"/>
                <w:szCs w:val="21"/>
              </w:rPr>
            </w:pPr>
            <w:r>
              <w:rPr>
                <w:rFonts w:hint="eastAsia" w:ascii="宋体" w:hAnsi="宋体" w:cs="宋体"/>
                <w:szCs w:val="21"/>
              </w:rPr>
              <w:t>4.投标文件应正确反映投标产品的技术水平和科技含量，投标产品如包括必备的随机附件及零配件、易损易耗备品备件和专用工具，投标人应提供其清单；</w:t>
            </w:r>
          </w:p>
          <w:p w14:paraId="0CFF6DC1">
            <w:pPr>
              <w:spacing w:line="400" w:lineRule="exact"/>
              <w:rPr>
                <w:rFonts w:hint="eastAsia" w:ascii="宋体" w:hAnsi="宋体" w:cs="宋体"/>
                <w:szCs w:val="21"/>
              </w:rPr>
            </w:pPr>
            <w:r>
              <w:rPr>
                <w:rFonts w:hint="eastAsia" w:ascii="宋体" w:hAnsi="宋体" w:cs="宋体"/>
                <w:szCs w:val="21"/>
              </w:rPr>
              <w:t>5.投标人所投产品应符合国家有关部门规定的相应技术、节能、安全和环保标准；国家有关部门对所投产品有强制性规定或要求的，必须符合相应规定或要求。</w:t>
            </w:r>
          </w:p>
          <w:p w14:paraId="3E224F4B">
            <w:pPr>
              <w:spacing w:line="400" w:lineRule="exact"/>
              <w:rPr>
                <w:rFonts w:hint="eastAsia" w:ascii="宋体" w:hAnsi="宋体" w:cs="宋体"/>
                <w:szCs w:val="21"/>
              </w:rPr>
            </w:pPr>
            <w:r>
              <w:rPr>
                <w:rFonts w:hint="eastAsia" w:ascii="宋体" w:hAnsi="宋体" w:cs="宋体"/>
                <w:szCs w:val="21"/>
              </w:rPr>
              <w:t>6.从通过验收即日起计算，存在质量问题的货物，提供15天包换。</w:t>
            </w:r>
          </w:p>
        </w:tc>
      </w:tr>
      <w:tr w14:paraId="2875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137ACB4E">
            <w:pPr>
              <w:pStyle w:val="11"/>
              <w:snapToGrid w:val="0"/>
              <w:spacing w:line="400" w:lineRule="exact"/>
              <w:jc w:val="center"/>
              <w:rPr>
                <w:rFonts w:hint="eastAsia" w:hAnsi="宋体" w:cs="宋体"/>
                <w:bCs/>
              </w:rPr>
            </w:pPr>
            <w:r>
              <w:rPr>
                <w:rFonts w:hint="eastAsia" w:hAnsi="宋体" w:cs="宋体"/>
                <w:bCs/>
              </w:rPr>
              <w:t>售后服务以及其他要求</w:t>
            </w:r>
          </w:p>
        </w:tc>
        <w:tc>
          <w:tcPr>
            <w:tcW w:w="7890" w:type="dxa"/>
            <w:tcBorders>
              <w:top w:val="single" w:color="auto" w:sz="4" w:space="0"/>
              <w:left w:val="single" w:color="auto" w:sz="4" w:space="0"/>
              <w:bottom w:val="single" w:color="auto" w:sz="4" w:space="0"/>
              <w:right w:val="single" w:color="auto" w:sz="4" w:space="0"/>
            </w:tcBorders>
            <w:vAlign w:val="center"/>
          </w:tcPr>
          <w:p w14:paraId="68D63BFC">
            <w:pPr>
              <w:pStyle w:val="4"/>
              <w:spacing w:line="400" w:lineRule="exact"/>
              <w:ind w:left="0"/>
              <w:rPr>
                <w:rFonts w:hint="eastAsia" w:ascii="宋体" w:hAnsi="宋体" w:cs="宋体"/>
                <w:szCs w:val="21"/>
              </w:rPr>
            </w:pPr>
            <w:r>
              <w:rPr>
                <w:rFonts w:hint="eastAsia" w:ascii="宋体" w:hAnsi="宋体" w:cs="宋体"/>
                <w:szCs w:val="21"/>
              </w:rPr>
              <w:t>一.售后服务最低要求</w:t>
            </w:r>
          </w:p>
          <w:p w14:paraId="7DC82BC7">
            <w:pPr>
              <w:pStyle w:val="4"/>
              <w:spacing w:line="400" w:lineRule="exact"/>
              <w:ind w:left="0"/>
              <w:rPr>
                <w:rFonts w:hint="eastAsia" w:ascii="宋体" w:hAnsi="宋体" w:cs="宋体"/>
                <w:szCs w:val="21"/>
              </w:rPr>
            </w:pPr>
            <w:r>
              <w:rPr>
                <w:rFonts w:hint="eastAsia" w:ascii="宋体" w:hAnsi="宋体" w:cs="宋体"/>
                <w:szCs w:val="21"/>
              </w:rPr>
              <w:t>▲1.供应商提供的所有产品必须是全新的、完整的原装产品。</w:t>
            </w:r>
          </w:p>
          <w:p w14:paraId="03446D74">
            <w:pPr>
              <w:pStyle w:val="4"/>
              <w:spacing w:line="400" w:lineRule="exact"/>
              <w:ind w:left="0"/>
              <w:rPr>
                <w:rFonts w:hint="eastAsia" w:ascii="宋体" w:hAnsi="宋体" w:cs="宋体"/>
                <w:szCs w:val="21"/>
              </w:rPr>
            </w:pPr>
            <w:r>
              <w:rPr>
                <w:rFonts w:hint="eastAsia" w:ascii="宋体" w:hAnsi="宋体" w:cs="宋体"/>
                <w:szCs w:val="21"/>
              </w:rPr>
              <w:t>▲2.质量保质期要求：按国家有关产品“三包”规定执行“三包”，质保期为自验收合格之日起至少3年。</w:t>
            </w:r>
          </w:p>
          <w:p w14:paraId="7327ADDD">
            <w:pPr>
              <w:pStyle w:val="4"/>
              <w:spacing w:line="400" w:lineRule="exact"/>
              <w:ind w:left="0"/>
              <w:rPr>
                <w:rFonts w:hint="eastAsia" w:ascii="宋体" w:hAnsi="宋体" w:cs="宋体"/>
                <w:szCs w:val="21"/>
              </w:rPr>
            </w:pPr>
            <w:r>
              <w:rPr>
                <w:rFonts w:hint="eastAsia" w:ascii="宋体" w:hAnsi="宋体" w:cs="宋体"/>
                <w:szCs w:val="21"/>
              </w:rPr>
              <w:t>3.在项目实施过程中或在质保期内，因采购人的项目实施地点变更的，中标人必须无条件配合完成相关工作，包括但不限于：</w:t>
            </w:r>
          </w:p>
          <w:p w14:paraId="5445F65D">
            <w:pPr>
              <w:pStyle w:val="4"/>
              <w:spacing w:line="400" w:lineRule="exact"/>
              <w:ind w:left="0"/>
              <w:rPr>
                <w:rFonts w:hint="eastAsia" w:ascii="宋体" w:hAnsi="宋体" w:cs="宋体"/>
                <w:szCs w:val="21"/>
              </w:rPr>
            </w:pPr>
            <w:r>
              <w:rPr>
                <w:rFonts w:hint="eastAsia" w:ascii="宋体" w:hAnsi="宋体" w:cs="宋体"/>
                <w:szCs w:val="21"/>
              </w:rPr>
              <w:t>3.1. 设备及材料的搬迁：安排并承担设备及材料从原地点到新地点的搬迁工作，确保设备在搬迁过程中不受损坏。</w:t>
            </w:r>
          </w:p>
          <w:p w14:paraId="1B09411A">
            <w:pPr>
              <w:pStyle w:val="4"/>
              <w:spacing w:line="400" w:lineRule="exact"/>
              <w:ind w:left="0"/>
              <w:rPr>
                <w:rFonts w:hint="eastAsia" w:ascii="宋体" w:hAnsi="宋体" w:cs="宋体"/>
                <w:szCs w:val="21"/>
              </w:rPr>
            </w:pPr>
            <w:r>
              <w:rPr>
                <w:rFonts w:hint="eastAsia" w:ascii="宋体" w:hAnsi="宋体" w:cs="宋体"/>
                <w:szCs w:val="21"/>
              </w:rPr>
              <w:t>3.2. 安装与调试：在新地点重新进行设备的安装与调试，确保设备能够正常运行，并达到合同规定的性能标准。</w:t>
            </w:r>
          </w:p>
          <w:p w14:paraId="4D134AD3">
            <w:pPr>
              <w:pStyle w:val="4"/>
              <w:spacing w:line="400" w:lineRule="exact"/>
              <w:ind w:left="0"/>
              <w:rPr>
                <w:rFonts w:hint="eastAsia" w:ascii="宋体" w:hAnsi="宋体" w:cs="宋体"/>
                <w:szCs w:val="21"/>
              </w:rPr>
            </w:pPr>
            <w:r>
              <w:rPr>
                <w:rFonts w:hint="eastAsia" w:ascii="宋体" w:hAnsi="宋体" w:cs="宋体"/>
                <w:szCs w:val="21"/>
              </w:rPr>
              <w:t>3.3. 维护与保养：在新地点继续履行质保期内的维护与保养义务，确保设备在质保期内的正常运行。</w:t>
            </w:r>
          </w:p>
          <w:p w14:paraId="782A6C52">
            <w:pPr>
              <w:pStyle w:val="4"/>
              <w:spacing w:line="400" w:lineRule="exact"/>
              <w:ind w:left="0"/>
              <w:rPr>
                <w:rFonts w:hint="eastAsia" w:ascii="宋体" w:hAnsi="宋体" w:cs="宋体"/>
                <w:szCs w:val="21"/>
              </w:rPr>
            </w:pPr>
            <w:r>
              <w:rPr>
                <w:rFonts w:hint="eastAsia" w:ascii="宋体" w:hAnsi="宋体" w:cs="宋体"/>
                <w:szCs w:val="21"/>
              </w:rPr>
              <w:t>3.4. 文档更新：根据新地点的实际情况，更新相关技术文档、操作手册及维护记录，并提交给采购方。</w:t>
            </w:r>
          </w:p>
          <w:p w14:paraId="0E8A86AB">
            <w:pPr>
              <w:pStyle w:val="4"/>
              <w:spacing w:line="400" w:lineRule="exact"/>
              <w:ind w:left="0"/>
              <w:rPr>
                <w:rFonts w:hint="eastAsia" w:ascii="宋体" w:hAnsi="宋体" w:cs="宋体"/>
                <w:szCs w:val="21"/>
              </w:rPr>
            </w:pPr>
            <w:r>
              <w:rPr>
                <w:rFonts w:hint="eastAsia" w:ascii="宋体" w:hAnsi="宋体" w:cs="宋体"/>
                <w:szCs w:val="21"/>
              </w:rPr>
              <w:t>3.5. 应急处理：在搬迁及重新安装过程中，如遇突发情况，供应商应迅速响应并采取有效措施，确保项目不受影响。</w:t>
            </w:r>
          </w:p>
          <w:p w14:paraId="735D11C7">
            <w:pPr>
              <w:pStyle w:val="4"/>
              <w:spacing w:line="400" w:lineRule="exact"/>
              <w:ind w:left="0"/>
              <w:rPr>
                <w:rFonts w:hint="eastAsia" w:ascii="宋体" w:hAnsi="宋体" w:cs="宋体"/>
                <w:szCs w:val="21"/>
              </w:rPr>
            </w:pPr>
            <w:r>
              <w:rPr>
                <w:rFonts w:hint="eastAsia" w:ascii="宋体" w:hAnsi="宋体" w:cs="宋体"/>
                <w:szCs w:val="21"/>
              </w:rPr>
              <w:t>4.售后服务：</w:t>
            </w:r>
          </w:p>
          <w:p w14:paraId="54800052">
            <w:pPr>
              <w:pStyle w:val="4"/>
              <w:spacing w:line="400" w:lineRule="exact"/>
              <w:ind w:left="0"/>
              <w:rPr>
                <w:rFonts w:hint="eastAsia" w:ascii="宋体" w:hAnsi="宋体" w:cs="宋体"/>
                <w:szCs w:val="21"/>
              </w:rPr>
            </w:pPr>
            <w:r>
              <w:rPr>
                <w:rFonts w:hint="eastAsia" w:ascii="宋体" w:hAnsi="宋体" w:cs="宋体"/>
                <w:szCs w:val="21"/>
              </w:rPr>
              <w:t>4.1. 在质保期内免费提供维修和更换零部件服务。质保期结束后，可以选择延长质保期，投标方需提供相应的费用和服务方案。</w:t>
            </w:r>
          </w:p>
          <w:p w14:paraId="4D991B89">
            <w:pPr>
              <w:pStyle w:val="4"/>
              <w:spacing w:line="400" w:lineRule="exact"/>
              <w:ind w:left="0"/>
              <w:rPr>
                <w:rFonts w:hint="eastAsia" w:ascii="宋体" w:hAnsi="宋体" w:cs="宋体"/>
                <w:szCs w:val="21"/>
              </w:rPr>
            </w:pPr>
            <w:r>
              <w:rPr>
                <w:rFonts w:hint="eastAsia" w:ascii="宋体" w:hAnsi="宋体" w:cs="宋体"/>
                <w:szCs w:val="21"/>
              </w:rPr>
              <w:t>4.2. 提供产品终身24/7的技术支持热线，确保在任何时间都能获得技术支持。</w:t>
            </w:r>
          </w:p>
          <w:p w14:paraId="05C23722">
            <w:pPr>
              <w:pStyle w:val="4"/>
              <w:spacing w:line="400" w:lineRule="exact"/>
              <w:ind w:left="0"/>
              <w:rPr>
                <w:rFonts w:hint="eastAsia" w:ascii="宋体" w:hAnsi="宋体" w:cs="宋体"/>
                <w:szCs w:val="21"/>
              </w:rPr>
            </w:pPr>
            <w:r>
              <w:rPr>
                <w:rFonts w:hint="eastAsia" w:ascii="宋体" w:hAnsi="宋体" w:cs="宋体"/>
                <w:szCs w:val="21"/>
              </w:rPr>
              <w:t>4.3. 为客户提供详细的操作和维护培训，提供详细的培训手册和操作指南。</w:t>
            </w:r>
          </w:p>
          <w:p w14:paraId="06C9B719">
            <w:pPr>
              <w:pStyle w:val="4"/>
              <w:spacing w:line="400" w:lineRule="exact"/>
              <w:ind w:left="0"/>
              <w:rPr>
                <w:rFonts w:hint="eastAsia" w:ascii="宋体" w:hAnsi="宋体" w:cs="宋体"/>
                <w:szCs w:val="21"/>
              </w:rPr>
            </w:pPr>
            <w:r>
              <w:rPr>
                <w:rFonts w:hint="eastAsia" w:ascii="宋体" w:hAnsi="宋体" w:cs="宋体"/>
                <w:szCs w:val="21"/>
              </w:rPr>
              <w:t>4.4. 维修响应参考一般响应：2小时之内响应，1周内完成修复。更换零部件的30天内完成修复。</w:t>
            </w:r>
          </w:p>
          <w:p w14:paraId="0381DFDA">
            <w:pPr>
              <w:pStyle w:val="4"/>
              <w:spacing w:line="400" w:lineRule="exact"/>
              <w:ind w:left="0"/>
              <w:rPr>
                <w:rFonts w:hint="eastAsia" w:ascii="宋体" w:hAnsi="宋体" w:cs="宋体"/>
                <w:szCs w:val="21"/>
              </w:rPr>
            </w:pPr>
          </w:p>
        </w:tc>
      </w:tr>
      <w:tr w14:paraId="0C321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3795F329">
            <w:pPr>
              <w:pStyle w:val="11"/>
              <w:snapToGrid w:val="0"/>
              <w:spacing w:line="400" w:lineRule="exact"/>
              <w:jc w:val="center"/>
              <w:rPr>
                <w:rFonts w:hint="eastAsia" w:hAnsi="宋体" w:cs="宋体"/>
                <w:bCs/>
              </w:rPr>
            </w:pPr>
            <w:r>
              <w:rPr>
                <w:rFonts w:hint="eastAsia" w:hAnsi="宋体" w:cs="宋体"/>
                <w:bCs/>
              </w:rPr>
              <w:t>交货时间及地点</w:t>
            </w:r>
          </w:p>
        </w:tc>
        <w:tc>
          <w:tcPr>
            <w:tcW w:w="7890" w:type="dxa"/>
            <w:tcBorders>
              <w:top w:val="single" w:color="auto" w:sz="4" w:space="0"/>
              <w:left w:val="single" w:color="auto" w:sz="4" w:space="0"/>
              <w:bottom w:val="single" w:color="auto" w:sz="4" w:space="0"/>
              <w:right w:val="single" w:color="auto" w:sz="4" w:space="0"/>
            </w:tcBorders>
            <w:vAlign w:val="center"/>
          </w:tcPr>
          <w:p w14:paraId="0E9E424A">
            <w:pPr>
              <w:pStyle w:val="11"/>
              <w:snapToGrid w:val="0"/>
              <w:spacing w:line="400" w:lineRule="exact"/>
              <w:rPr>
                <w:rFonts w:hint="eastAsia" w:hAnsi="宋体" w:cs="宋体"/>
                <w:bCs/>
              </w:rPr>
            </w:pPr>
            <w:r>
              <w:rPr>
                <w:rFonts w:hint="eastAsia" w:hAnsi="宋体" w:cs="宋体"/>
                <w:bCs/>
              </w:rPr>
              <w:t>▲1.交货时间：合同签订之日起30日历天内安装调试完毕，验收合格并交付使用。</w:t>
            </w:r>
          </w:p>
          <w:p w14:paraId="6861D4EA">
            <w:pPr>
              <w:pStyle w:val="11"/>
              <w:snapToGrid w:val="0"/>
              <w:spacing w:line="400" w:lineRule="exact"/>
              <w:rPr>
                <w:rFonts w:hint="eastAsia" w:hAnsi="宋体" w:cs="宋体"/>
                <w:bCs/>
              </w:rPr>
            </w:pPr>
            <w:r>
              <w:rPr>
                <w:rFonts w:hint="eastAsia" w:hAnsi="宋体" w:cs="宋体"/>
              </w:rPr>
              <w:t>▲</w:t>
            </w:r>
            <w:r>
              <w:rPr>
                <w:rFonts w:hint="eastAsia" w:hAnsi="宋体" w:cs="宋体"/>
                <w:bCs/>
              </w:rPr>
              <w:t>2.交货地点：广西柳州羊角山路8号，广西壮族自治区胸科医院。</w:t>
            </w:r>
          </w:p>
        </w:tc>
      </w:tr>
      <w:tr w14:paraId="08041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77FD0EF1">
            <w:pPr>
              <w:pStyle w:val="11"/>
              <w:snapToGrid w:val="0"/>
              <w:spacing w:line="400" w:lineRule="exact"/>
              <w:jc w:val="center"/>
              <w:rPr>
                <w:rFonts w:hint="eastAsia" w:hAnsi="宋体" w:cs="宋体"/>
                <w:bCs/>
              </w:rPr>
            </w:pPr>
            <w:r>
              <w:rPr>
                <w:rFonts w:hint="eastAsia" w:hAnsi="宋体" w:cs="宋体"/>
                <w:bCs/>
              </w:rPr>
              <w:t>付款方式</w:t>
            </w:r>
          </w:p>
        </w:tc>
        <w:tc>
          <w:tcPr>
            <w:tcW w:w="7890" w:type="dxa"/>
            <w:tcBorders>
              <w:top w:val="single" w:color="auto" w:sz="4" w:space="0"/>
              <w:left w:val="single" w:color="auto" w:sz="4" w:space="0"/>
              <w:bottom w:val="single" w:color="auto" w:sz="4" w:space="0"/>
              <w:right w:val="single" w:color="auto" w:sz="4" w:space="0"/>
            </w:tcBorders>
            <w:vAlign w:val="center"/>
          </w:tcPr>
          <w:p w14:paraId="42332E35">
            <w:pPr>
              <w:pStyle w:val="11"/>
              <w:snapToGrid w:val="0"/>
              <w:spacing w:line="400" w:lineRule="exact"/>
              <w:rPr>
                <w:rFonts w:hint="eastAsia" w:hAnsi="宋体" w:cs="宋体"/>
              </w:rPr>
            </w:pPr>
            <w:r>
              <w:rPr>
                <w:rFonts w:hint="eastAsia" w:hAnsi="宋体" w:cs="宋体"/>
              </w:rPr>
              <w:t>1.预付款</w:t>
            </w:r>
          </w:p>
          <w:p w14:paraId="40808E6E">
            <w:pPr>
              <w:pStyle w:val="11"/>
              <w:snapToGrid w:val="0"/>
              <w:spacing w:line="400" w:lineRule="exact"/>
              <w:rPr>
                <w:rFonts w:hint="eastAsia" w:hAnsi="宋体" w:cs="宋体"/>
              </w:rPr>
            </w:pPr>
            <w:r>
              <w:rPr>
                <w:rFonts w:hint="eastAsia" w:hAnsi="宋体" w:cs="宋体"/>
              </w:rPr>
              <w:t>自签订合同之日起的第15个工作日内，甲方向乙方支付合同金额的30%。</w:t>
            </w:r>
          </w:p>
          <w:p w14:paraId="1EE4F05F">
            <w:pPr>
              <w:pStyle w:val="11"/>
              <w:snapToGrid w:val="0"/>
              <w:spacing w:line="400" w:lineRule="exact"/>
              <w:rPr>
                <w:rFonts w:hint="eastAsia" w:hAnsi="宋体" w:cs="宋体"/>
              </w:rPr>
            </w:pPr>
            <w:r>
              <w:rPr>
                <w:rFonts w:hint="eastAsia" w:hAnsi="宋体" w:cs="宋体"/>
              </w:rPr>
              <w:t>2.进度款</w:t>
            </w:r>
          </w:p>
          <w:p w14:paraId="4FE64141">
            <w:pPr>
              <w:pStyle w:val="11"/>
              <w:snapToGrid w:val="0"/>
              <w:spacing w:line="400" w:lineRule="exact"/>
              <w:rPr>
                <w:rFonts w:hint="eastAsia" w:hAnsi="宋体" w:cs="宋体"/>
              </w:rPr>
            </w:pPr>
            <w:r>
              <w:rPr>
                <w:rFonts w:hint="eastAsia" w:hAnsi="宋体" w:cs="宋体"/>
              </w:rPr>
              <w:t>当项目完成安装调试，验收合格，并正式运行后的15个工作日内，甲方向乙方支付合同金额的70%。</w:t>
            </w:r>
          </w:p>
          <w:p w14:paraId="4F624529">
            <w:pPr>
              <w:pStyle w:val="11"/>
              <w:snapToGrid w:val="0"/>
              <w:spacing w:line="400" w:lineRule="exact"/>
              <w:rPr>
                <w:rFonts w:hint="eastAsia" w:hAnsi="宋体" w:cs="宋体"/>
              </w:rPr>
            </w:pPr>
            <w:r>
              <w:rPr>
                <w:rFonts w:hint="eastAsia" w:hAnsi="宋体" w:cs="宋体"/>
                <w:b/>
                <w:bCs/>
              </w:rPr>
              <w:t>注：中标单位每次请款时必须提供等额发票给采购人。</w:t>
            </w:r>
          </w:p>
        </w:tc>
      </w:tr>
      <w:tr w14:paraId="384F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208B9D92">
            <w:pPr>
              <w:spacing w:line="400" w:lineRule="exact"/>
              <w:ind w:right="-27" w:rightChars="-13"/>
              <w:jc w:val="center"/>
              <w:rPr>
                <w:rFonts w:hint="eastAsia" w:ascii="宋体" w:hAnsi="宋体" w:cs="宋体"/>
                <w:bCs/>
                <w:szCs w:val="21"/>
                <w:lang w:val="en-GB"/>
              </w:rPr>
            </w:pPr>
            <w:r>
              <w:rPr>
                <w:rFonts w:hint="eastAsia" w:ascii="宋体" w:hAnsi="宋体" w:cs="宋体"/>
                <w:szCs w:val="21"/>
              </w:rPr>
              <w:t>履约保证金</w:t>
            </w:r>
          </w:p>
        </w:tc>
        <w:tc>
          <w:tcPr>
            <w:tcW w:w="7890" w:type="dxa"/>
            <w:tcBorders>
              <w:top w:val="single" w:color="auto" w:sz="4" w:space="0"/>
              <w:left w:val="single" w:color="auto" w:sz="4" w:space="0"/>
              <w:bottom w:val="single" w:color="auto" w:sz="4" w:space="0"/>
              <w:right w:val="single" w:color="auto" w:sz="4" w:space="0"/>
            </w:tcBorders>
            <w:vAlign w:val="center"/>
          </w:tcPr>
          <w:p w14:paraId="2728BF16">
            <w:pPr>
              <w:numPr>
                <w:ilvl w:val="255"/>
                <w:numId w:val="0"/>
              </w:numPr>
              <w:spacing w:line="400" w:lineRule="exact"/>
              <w:jc w:val="left"/>
              <w:rPr>
                <w:rFonts w:hint="eastAsia" w:ascii="宋体" w:hAnsi="宋体" w:cs="宋体"/>
                <w:bCs/>
                <w:szCs w:val="21"/>
              </w:rPr>
            </w:pPr>
            <w:r>
              <w:rPr>
                <w:rFonts w:hint="eastAsia" w:ascii="宋体" w:hAnsi="宋体" w:cs="宋体"/>
                <w:bCs/>
                <w:szCs w:val="21"/>
              </w:rPr>
              <w:t>1.合同金额的2%。由中标人于项目验收合格后10个工作日内支付至采购人如下账户：</w:t>
            </w:r>
          </w:p>
          <w:p w14:paraId="613768AF">
            <w:pPr>
              <w:pStyle w:val="16"/>
              <w:spacing w:line="400" w:lineRule="exact"/>
              <w:ind w:left="0" w:leftChars="0" w:firstLine="0" w:firstLineChars="0"/>
            </w:pPr>
            <w:r>
              <w:t>开户名称：广西壮族自治区胸科医院</w:t>
            </w:r>
          </w:p>
          <w:p w14:paraId="25B7FC89">
            <w:pPr>
              <w:pStyle w:val="16"/>
              <w:spacing w:line="400" w:lineRule="exact"/>
              <w:ind w:left="0" w:leftChars="0" w:firstLine="0" w:firstLineChars="0"/>
            </w:pPr>
            <w:r>
              <w:t>开户银行：</w:t>
            </w:r>
          </w:p>
          <w:p w14:paraId="1E5FCA05">
            <w:pPr>
              <w:pStyle w:val="16"/>
              <w:spacing w:line="400" w:lineRule="exact"/>
              <w:ind w:left="0" w:leftChars="0" w:firstLine="0" w:firstLineChars="0"/>
            </w:pPr>
            <w:r>
              <w:t>银行账号：</w:t>
            </w:r>
          </w:p>
          <w:p w14:paraId="5BD5E8C6">
            <w:pPr>
              <w:pStyle w:val="16"/>
              <w:spacing w:line="400" w:lineRule="exact"/>
              <w:ind w:left="0" w:leftChars="0" w:firstLine="0" w:firstLineChars="0"/>
              <w:rPr>
                <w:rFonts w:hint="eastAsia" w:ascii="宋体" w:hAnsi="宋体" w:cs="宋体"/>
                <w:bCs/>
                <w:szCs w:val="21"/>
              </w:rPr>
            </w:pPr>
            <w:r>
              <w:rPr>
                <w:rFonts w:hint="eastAsia"/>
              </w:rPr>
              <w:t>2.履约保证于项目质保期结束后15日历天内退回（不计息）。</w:t>
            </w:r>
          </w:p>
        </w:tc>
      </w:tr>
      <w:tr w14:paraId="760B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68A9EF55">
            <w:pPr>
              <w:widowControl/>
              <w:spacing w:line="400" w:lineRule="exact"/>
              <w:jc w:val="center"/>
              <w:textAlignment w:val="center"/>
              <w:rPr>
                <w:rFonts w:hint="eastAsia" w:ascii="宋体" w:hAnsi="宋体" w:cs="宋体"/>
                <w:szCs w:val="21"/>
              </w:rPr>
            </w:pPr>
            <w:r>
              <w:rPr>
                <w:rFonts w:hint="eastAsia" w:ascii="宋体" w:hAnsi="宋体" w:cs="宋体"/>
                <w:szCs w:val="21"/>
              </w:rPr>
              <w:t>备品备件及耗材等要求</w:t>
            </w:r>
          </w:p>
        </w:tc>
        <w:tc>
          <w:tcPr>
            <w:tcW w:w="7890" w:type="dxa"/>
            <w:tcBorders>
              <w:top w:val="single" w:color="auto" w:sz="4" w:space="0"/>
              <w:left w:val="single" w:color="auto" w:sz="4" w:space="0"/>
              <w:bottom w:val="single" w:color="auto" w:sz="4" w:space="0"/>
              <w:right w:val="single" w:color="auto" w:sz="4" w:space="0"/>
            </w:tcBorders>
            <w:vAlign w:val="center"/>
          </w:tcPr>
          <w:p w14:paraId="5A4F72C8">
            <w:pPr>
              <w:widowControl/>
              <w:spacing w:line="400" w:lineRule="exact"/>
              <w:jc w:val="left"/>
              <w:textAlignment w:val="center"/>
              <w:rPr>
                <w:rFonts w:hint="eastAsia" w:ascii="宋体" w:hAnsi="宋体" w:cs="宋体"/>
                <w:szCs w:val="21"/>
              </w:rPr>
            </w:pPr>
            <w:r>
              <w:rPr>
                <w:rFonts w:hint="eastAsia" w:ascii="宋体" w:hAnsi="宋体" w:cs="宋体"/>
                <w:szCs w:val="21"/>
              </w:rPr>
              <w:t>1.投标人所提供零部件、配件及安装材料必须是符合国家规定质量安全标准的全新、合格产品；该项费用应包含在报价中；</w:t>
            </w:r>
          </w:p>
          <w:p w14:paraId="34F359DE">
            <w:pPr>
              <w:widowControl/>
              <w:spacing w:line="400" w:lineRule="exact"/>
              <w:jc w:val="left"/>
              <w:textAlignment w:val="center"/>
              <w:rPr>
                <w:rFonts w:hint="eastAsia" w:ascii="宋体" w:hAnsi="宋体" w:cs="宋体"/>
                <w:szCs w:val="21"/>
              </w:rPr>
            </w:pPr>
            <w:r>
              <w:rPr>
                <w:rFonts w:hint="eastAsia" w:ascii="宋体" w:hAnsi="宋体" w:cs="宋体"/>
                <w:szCs w:val="21"/>
              </w:rPr>
              <w:t>2.投标人所提供完整的全套设备须包括必备的易损耗备件和专用工具；</w:t>
            </w:r>
          </w:p>
          <w:p w14:paraId="76CB731C">
            <w:pPr>
              <w:widowControl/>
              <w:spacing w:line="400" w:lineRule="exact"/>
              <w:jc w:val="left"/>
              <w:textAlignment w:val="center"/>
              <w:rPr>
                <w:rFonts w:hint="eastAsia" w:ascii="宋体" w:hAnsi="宋体" w:cs="宋体"/>
                <w:b/>
                <w:bCs/>
                <w:szCs w:val="21"/>
              </w:rPr>
            </w:pPr>
            <w:r>
              <w:rPr>
                <w:rFonts w:hint="eastAsia" w:ascii="宋体" w:hAnsi="宋体" w:cs="宋体"/>
                <w:szCs w:val="21"/>
              </w:rPr>
              <w:t>3.投标人必须有完善的备品备件库体系，质保期内能提供相应的免费的措施和配件，保证过质保期后</w:t>
            </w:r>
            <w:r>
              <w:rPr>
                <w:rFonts w:hint="eastAsia" w:ascii="宋体" w:hAnsi="宋体" w:cs="宋体"/>
                <w:szCs w:val="21"/>
                <w:u w:val="single"/>
              </w:rPr>
              <w:t>五年内</w:t>
            </w:r>
            <w:r>
              <w:rPr>
                <w:rFonts w:hint="eastAsia" w:ascii="宋体" w:hAnsi="宋体" w:cs="宋体"/>
                <w:szCs w:val="21"/>
              </w:rPr>
              <w:t>有足够的备品备件，为完成本项目技术支持、服务需求提供可靠保证。</w:t>
            </w:r>
          </w:p>
        </w:tc>
      </w:tr>
      <w:tr w14:paraId="15EC7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43B871A4">
            <w:pPr>
              <w:pStyle w:val="11"/>
              <w:snapToGrid w:val="0"/>
              <w:spacing w:line="400" w:lineRule="exact"/>
              <w:rPr>
                <w:rFonts w:hint="eastAsia" w:hAnsi="宋体" w:cs="宋体"/>
                <w:bCs/>
              </w:rPr>
            </w:pPr>
            <w:r>
              <w:rPr>
                <w:rFonts w:hint="eastAsia" w:hAnsi="宋体" w:cs="宋体"/>
                <w:b/>
                <w:bCs/>
              </w:rPr>
              <w:t>三、验收要求</w:t>
            </w:r>
          </w:p>
        </w:tc>
      </w:tr>
      <w:tr w14:paraId="7800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6" w:type="dxa"/>
            <w:tcBorders>
              <w:top w:val="single" w:color="auto" w:sz="4" w:space="0"/>
              <w:left w:val="single" w:color="auto" w:sz="4" w:space="0"/>
              <w:bottom w:val="single" w:color="auto" w:sz="4" w:space="0"/>
              <w:right w:val="single" w:color="auto" w:sz="4" w:space="0"/>
            </w:tcBorders>
            <w:vAlign w:val="center"/>
          </w:tcPr>
          <w:p w14:paraId="2B29F7AB">
            <w:pPr>
              <w:pStyle w:val="11"/>
              <w:snapToGrid w:val="0"/>
              <w:spacing w:line="400" w:lineRule="exact"/>
              <w:jc w:val="center"/>
              <w:rPr>
                <w:rFonts w:hint="eastAsia" w:hAnsi="宋体" w:cs="宋体"/>
                <w:bCs/>
              </w:rPr>
            </w:pPr>
            <w:r>
              <w:rPr>
                <w:rFonts w:hint="eastAsia" w:hAnsi="宋体" w:cs="宋体"/>
                <w:bCs/>
              </w:rPr>
              <w:t>验收标准及要求</w:t>
            </w:r>
          </w:p>
        </w:tc>
        <w:tc>
          <w:tcPr>
            <w:tcW w:w="7890" w:type="dxa"/>
            <w:tcBorders>
              <w:top w:val="single" w:color="auto" w:sz="4" w:space="0"/>
              <w:left w:val="single" w:color="auto" w:sz="4" w:space="0"/>
              <w:bottom w:val="single" w:color="auto" w:sz="4" w:space="0"/>
              <w:right w:val="single" w:color="auto" w:sz="4" w:space="0"/>
            </w:tcBorders>
            <w:vAlign w:val="center"/>
          </w:tcPr>
          <w:p w14:paraId="040F174B">
            <w:pPr>
              <w:pStyle w:val="11"/>
              <w:snapToGrid w:val="0"/>
              <w:spacing w:line="400" w:lineRule="exact"/>
              <w:rPr>
                <w:rFonts w:hint="eastAsia" w:hAnsi="宋体" w:cs="宋体"/>
              </w:rPr>
            </w:pPr>
            <w:r>
              <w:rPr>
                <w:rFonts w:hint="eastAsia" w:hAnsi="宋体" w:cs="宋体"/>
              </w:rPr>
              <w:t>1.国家强制性技术标准及有关规定；</w:t>
            </w:r>
          </w:p>
          <w:p w14:paraId="51FD4640">
            <w:pPr>
              <w:pStyle w:val="11"/>
              <w:snapToGrid w:val="0"/>
              <w:spacing w:line="400" w:lineRule="exact"/>
              <w:rPr>
                <w:rFonts w:hint="eastAsia" w:hAnsi="宋体" w:cs="宋体"/>
              </w:rPr>
            </w:pPr>
            <w:r>
              <w:rPr>
                <w:rFonts w:hint="eastAsia" w:hAnsi="宋体" w:cs="宋体"/>
              </w:rPr>
              <w:t>2.交货验收时，采购人根据《广西壮族自治区政府采购项目履约验收管理办法》的规定，由采购人及中标人双方共同进行验收。必要时可委托国家认可的质量检测机构开展采购项目验收工作；</w:t>
            </w:r>
          </w:p>
          <w:p w14:paraId="7C7CF351">
            <w:pPr>
              <w:pStyle w:val="11"/>
              <w:snapToGrid w:val="0"/>
              <w:spacing w:line="400" w:lineRule="exact"/>
              <w:rPr>
                <w:rFonts w:hint="eastAsia" w:hAnsi="宋体" w:cs="宋体"/>
              </w:rPr>
            </w:pPr>
            <w:r>
              <w:rPr>
                <w:rFonts w:hint="eastAsia" w:hAnsi="宋体" w:cs="宋体"/>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p>
          <w:p w14:paraId="608F641C">
            <w:pPr>
              <w:pStyle w:val="11"/>
              <w:snapToGrid w:val="0"/>
              <w:spacing w:line="400" w:lineRule="exact"/>
              <w:rPr>
                <w:rFonts w:hint="eastAsia" w:hAnsi="宋体" w:cs="宋体"/>
                <w:bCs/>
              </w:rPr>
            </w:pPr>
            <w:r>
              <w:rPr>
                <w:rFonts w:hint="eastAsia" w:hAnsi="宋体" w:cs="宋体"/>
              </w:rPr>
              <w:t>4.验收费用：验收所产生的检验费及相关的全部费用均由中标人承担。</w:t>
            </w:r>
          </w:p>
        </w:tc>
      </w:tr>
      <w:tr w14:paraId="140B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415925CC">
            <w:pPr>
              <w:pStyle w:val="11"/>
              <w:snapToGrid w:val="0"/>
              <w:spacing w:line="400" w:lineRule="exact"/>
              <w:rPr>
                <w:rFonts w:hint="eastAsia" w:hAnsi="宋体" w:cs="宋体"/>
                <w:b/>
                <w:bCs/>
              </w:rPr>
            </w:pPr>
            <w:r>
              <w:rPr>
                <w:rFonts w:hint="eastAsia" w:hAnsi="宋体" w:cs="宋体"/>
                <w:b/>
                <w:bCs/>
              </w:rPr>
              <w:t>四、资信要求</w:t>
            </w:r>
          </w:p>
        </w:tc>
      </w:tr>
      <w:tr w14:paraId="55AA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6" w:type="dxa"/>
            <w:tcBorders>
              <w:top w:val="single" w:color="auto" w:sz="4" w:space="0"/>
              <w:left w:val="single" w:color="auto" w:sz="4" w:space="0"/>
              <w:bottom w:val="single" w:color="auto" w:sz="4" w:space="0"/>
              <w:right w:val="single" w:color="auto" w:sz="4" w:space="0"/>
            </w:tcBorders>
            <w:vAlign w:val="center"/>
          </w:tcPr>
          <w:p w14:paraId="254DB1C8">
            <w:pPr>
              <w:pStyle w:val="11"/>
              <w:snapToGrid w:val="0"/>
              <w:spacing w:line="400" w:lineRule="exact"/>
              <w:jc w:val="center"/>
              <w:rPr>
                <w:rFonts w:hint="eastAsia" w:hAnsi="宋体" w:cs="宋体"/>
                <w:bCs/>
              </w:rPr>
            </w:pPr>
            <w:r>
              <w:rPr>
                <w:rFonts w:hint="eastAsia" w:hAnsi="宋体" w:cs="宋体"/>
                <w:bCs/>
              </w:rPr>
              <w:t>政策性加分条件（如有）</w:t>
            </w:r>
          </w:p>
        </w:tc>
        <w:tc>
          <w:tcPr>
            <w:tcW w:w="7890" w:type="dxa"/>
            <w:tcBorders>
              <w:top w:val="single" w:color="auto" w:sz="4" w:space="0"/>
              <w:left w:val="single" w:color="auto" w:sz="4" w:space="0"/>
              <w:bottom w:val="single" w:color="auto" w:sz="4" w:space="0"/>
              <w:right w:val="single" w:color="auto" w:sz="4" w:space="0"/>
            </w:tcBorders>
            <w:vAlign w:val="center"/>
          </w:tcPr>
          <w:p w14:paraId="30A9FEFA">
            <w:pPr>
              <w:pStyle w:val="11"/>
              <w:numPr>
                <w:ilvl w:val="0"/>
                <w:numId w:val="2"/>
              </w:numPr>
              <w:snapToGrid w:val="0"/>
              <w:spacing w:line="400" w:lineRule="exact"/>
              <w:rPr>
                <w:rFonts w:hint="eastAsia" w:hAnsi="宋体" w:cs="宋体"/>
              </w:rPr>
            </w:pPr>
            <w:r>
              <w:rPr>
                <w:rFonts w:hint="eastAsia" w:hAnsi="宋体" w:cs="宋体"/>
              </w:rPr>
              <w:t>根据《政府采购促进中小企业发展管理办法》（财库〔2020〕46 号）及《关于对政府采购领域扶持中小企业的政策进行调整的通知》（柳财采〔2022〕18 号）的规定，投标人在其投标文件中提供《中小企业声明函》；</w:t>
            </w:r>
          </w:p>
          <w:p w14:paraId="04A794F1">
            <w:pPr>
              <w:spacing w:line="400" w:lineRule="exact"/>
              <w:rPr>
                <w:rFonts w:hint="eastAsia" w:ascii="宋体" w:hAnsi="宋体" w:cs="宋体"/>
                <w:b/>
                <w:bCs/>
                <w:szCs w:val="21"/>
              </w:rPr>
            </w:pPr>
            <w:r>
              <w:rPr>
                <w:rFonts w:hint="eastAsia" w:ascii="宋体" w:hAnsi="宋体" w:cs="宋体"/>
                <w:b/>
                <w:bCs/>
                <w:szCs w:val="21"/>
              </w:rPr>
              <w:t>注：（1）本项目标的对应的中小企业划分标准所属行业：</w:t>
            </w:r>
            <w:r>
              <w:rPr>
                <w:rFonts w:hint="eastAsia" w:ascii="宋体" w:hAnsi="宋体"/>
                <w:b/>
                <w:szCs w:val="21"/>
                <w:u w:val="single"/>
              </w:rPr>
              <w:t>“工业”。</w:t>
            </w:r>
          </w:p>
          <w:p w14:paraId="2C09860B">
            <w:pPr>
              <w:spacing w:line="400" w:lineRule="exact"/>
              <w:rPr>
                <w:rFonts w:hint="eastAsia" w:ascii="宋体" w:hAnsi="宋体" w:cs="宋体"/>
                <w:b/>
                <w:bCs/>
                <w:szCs w:val="21"/>
              </w:rPr>
            </w:pPr>
            <w:r>
              <w:rPr>
                <w:rFonts w:hint="eastAsia" w:ascii="宋体" w:hAnsi="宋体" w:cs="宋体"/>
                <w:b/>
                <w:bCs/>
                <w:szCs w:val="21"/>
              </w:rPr>
              <w:t>（2）中小企业划分有关标准根据工信部等部委发布的《关于印发中小企业划型标准规定的通知》（工信部联企业〔2011〕300号）确定；</w:t>
            </w:r>
          </w:p>
          <w:p w14:paraId="04681915">
            <w:pPr>
              <w:spacing w:line="400" w:lineRule="exact"/>
              <w:rPr>
                <w:rFonts w:hint="eastAsia" w:ascii="宋体" w:hAnsi="宋体" w:cs="宋体"/>
                <w:b/>
                <w:bCs/>
                <w:szCs w:val="21"/>
              </w:rPr>
            </w:pPr>
            <w:r>
              <w:rPr>
                <w:rFonts w:hint="eastAsia" w:ascii="宋体" w:hAnsi="宋体" w:cs="宋体"/>
                <w:b/>
                <w:bCs/>
                <w:szCs w:val="21"/>
              </w:rPr>
              <w:t>（3）为方便投标人识别企业规模类型，投标人可使用工业和信息化部组织开发的中小企业规模类型自测小程序生成企业规模类型测试结果。</w:t>
            </w:r>
          </w:p>
          <w:p w14:paraId="2897003D">
            <w:pPr>
              <w:spacing w:line="380" w:lineRule="exact"/>
              <w:rPr>
                <w:rFonts w:hint="eastAsia" w:ascii="宋体" w:hAnsi="宋体" w:cs="宋体"/>
                <w:b/>
                <w:bCs/>
                <w:szCs w:val="21"/>
              </w:rPr>
            </w:pPr>
            <w:r>
              <w:rPr>
                <w:rFonts w:hint="eastAsia" w:ascii="宋体" w:hAnsi="宋体" w:cs="宋体"/>
                <w:b/>
                <w:bCs/>
                <w:szCs w:val="21"/>
              </w:rPr>
              <w:t>自测小程序链接：https://sme.miit.gov.cn/baosong/appweb/orgScale.html</w:t>
            </w:r>
          </w:p>
          <w:p w14:paraId="43F0F42F">
            <w:pPr>
              <w:spacing w:line="38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《财政部、司法部关于政府采购支持监狱企业发展有关问题的通知》（财库〔2014〕68号）</w:t>
            </w:r>
            <w:r>
              <w:rPr>
                <w:rFonts w:hint="eastAsia" w:ascii="宋体" w:hAnsi="宋体" w:cs="宋体"/>
                <w:kern w:val="0"/>
                <w:szCs w:val="21"/>
              </w:rPr>
              <w:t>；</w:t>
            </w:r>
          </w:p>
          <w:p w14:paraId="0DD4889E">
            <w:pPr>
              <w:spacing w:line="380" w:lineRule="exact"/>
              <w:rPr>
                <w:rFonts w:hint="eastAsia" w:ascii="宋体" w:hAnsi="宋体" w:cs="宋体"/>
                <w:kern w:val="0"/>
                <w:szCs w:val="21"/>
              </w:rPr>
            </w:pPr>
            <w:r>
              <w:rPr>
                <w:rFonts w:hint="eastAsia" w:ascii="宋体" w:hAnsi="宋体" w:cs="宋体"/>
                <w:kern w:val="0"/>
                <w:szCs w:val="21"/>
              </w:rPr>
              <w:t>3.《财政部 民政部 中国残疾人联合会关于促进残疾人就业政府采购政策的通知》（财库〔2017〕141号）；</w:t>
            </w:r>
          </w:p>
          <w:p w14:paraId="2D89CB33">
            <w:pPr>
              <w:spacing w:line="380" w:lineRule="exact"/>
              <w:rPr>
                <w:rFonts w:hint="eastAsia" w:ascii="宋体" w:hAnsi="宋体" w:cs="宋体"/>
                <w:szCs w:val="21"/>
                <w:lang w:val="zh-CN"/>
              </w:rPr>
            </w:pPr>
            <w:r>
              <w:rPr>
                <w:rFonts w:hint="eastAsia" w:ascii="宋体" w:hAnsi="宋体" w:cs="宋体"/>
                <w:szCs w:val="21"/>
              </w:rPr>
              <w:t>4.《财政部 发展改革委 生态环境部 市场监管总局</w:t>
            </w:r>
            <w:r>
              <w:rPr>
                <w:rFonts w:hint="eastAsia" w:ascii="宋体" w:hAnsi="宋体" w:cs="宋体"/>
                <w:szCs w:val="21"/>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1A45270A">
            <w:pPr>
              <w:spacing w:line="380" w:lineRule="exact"/>
              <w:rPr>
                <w:rFonts w:hint="eastAsia" w:ascii="宋体" w:hAnsi="宋体" w:cs="宋体"/>
                <w:szCs w:val="21"/>
              </w:rPr>
            </w:pPr>
            <w:r>
              <w:rPr>
                <w:rFonts w:hint="eastAsia" w:ascii="宋体" w:hAnsi="宋体" w:cs="宋体"/>
                <w:szCs w:val="21"/>
              </w:rPr>
              <w:t>5.财政部 生态环境部《关于印发环境标志产品政府采购品目清单的通知》（财库〔2019〕18号）；</w:t>
            </w:r>
          </w:p>
          <w:p w14:paraId="69F7775B">
            <w:pPr>
              <w:spacing w:line="380" w:lineRule="exact"/>
              <w:rPr>
                <w:rFonts w:hint="eastAsia" w:ascii="宋体" w:hAnsi="宋体" w:cs="宋体"/>
                <w:szCs w:val="21"/>
              </w:rPr>
            </w:pPr>
            <w:r>
              <w:rPr>
                <w:rFonts w:hint="eastAsia" w:ascii="宋体" w:hAnsi="宋体" w:cs="宋体"/>
                <w:szCs w:val="21"/>
              </w:rPr>
              <w:t>6.财政部 发展改革委《关于印发节能产品政府采购品目清单的通知》（财库〔2019〕19号）。</w:t>
            </w:r>
          </w:p>
        </w:tc>
      </w:tr>
      <w:tr w14:paraId="3C4EE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171D8204">
            <w:pPr>
              <w:pStyle w:val="11"/>
              <w:snapToGrid w:val="0"/>
              <w:spacing w:line="400" w:lineRule="exact"/>
              <w:jc w:val="center"/>
              <w:rPr>
                <w:rFonts w:hint="eastAsia" w:hAnsi="宋体" w:cs="宋体"/>
                <w:bCs/>
              </w:rPr>
            </w:pPr>
            <w:r>
              <w:rPr>
                <w:rFonts w:hint="eastAsia" w:hAnsi="宋体" w:cs="宋体"/>
                <w:bCs/>
              </w:rPr>
              <w:t>质量管理、企业信用要求（如有）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6211867A">
            <w:pPr>
              <w:spacing w:line="400" w:lineRule="exact"/>
              <w:rPr>
                <w:rFonts w:hint="eastAsia" w:ascii="宋体" w:hAnsi="宋体" w:cs="宋体"/>
                <w:szCs w:val="21"/>
              </w:rPr>
            </w:pPr>
            <w:r>
              <w:rPr>
                <w:rFonts w:hint="eastAsia" w:ascii="宋体" w:hAnsi="宋体" w:cs="宋体"/>
                <w:szCs w:val="21"/>
              </w:rPr>
              <w:t xml:space="preserve">1.投标人或其投标产品生产厂家具备有效的质量管理体系认证证书； </w:t>
            </w:r>
          </w:p>
          <w:p w14:paraId="5560EAE8">
            <w:pPr>
              <w:spacing w:line="400" w:lineRule="exact"/>
              <w:rPr>
                <w:rFonts w:hint="eastAsia" w:ascii="宋体" w:hAnsi="宋体" w:cs="宋体"/>
                <w:szCs w:val="21"/>
              </w:rPr>
            </w:pPr>
            <w:r>
              <w:rPr>
                <w:rFonts w:hint="eastAsia" w:ascii="宋体" w:hAnsi="宋体" w:cs="宋体"/>
                <w:szCs w:val="21"/>
              </w:rPr>
              <w:t>2.投标人</w:t>
            </w:r>
            <w:r>
              <w:rPr>
                <w:rFonts w:hint="eastAsia"/>
              </w:rPr>
              <w:t>或其投标产品生产厂家</w:t>
            </w:r>
            <w:r>
              <w:rPr>
                <w:rFonts w:hint="eastAsia" w:ascii="宋体" w:hAnsi="宋体" w:cs="宋体"/>
                <w:szCs w:val="21"/>
              </w:rPr>
              <w:t xml:space="preserve">具备有效的环境管理体系认证证书； </w:t>
            </w:r>
          </w:p>
          <w:p w14:paraId="0220B867">
            <w:pPr>
              <w:spacing w:line="400" w:lineRule="exact"/>
              <w:rPr>
                <w:rFonts w:hint="eastAsia" w:ascii="宋体" w:hAnsi="宋体" w:cs="宋体"/>
                <w:bCs/>
                <w:kern w:val="0"/>
                <w:szCs w:val="21"/>
              </w:rPr>
            </w:pPr>
            <w:r>
              <w:rPr>
                <w:rFonts w:hint="eastAsia" w:ascii="宋体" w:hAnsi="宋体" w:cs="宋体"/>
                <w:szCs w:val="21"/>
              </w:rPr>
              <w:t>3.投标人</w:t>
            </w:r>
            <w:r>
              <w:rPr>
                <w:rFonts w:hint="eastAsia"/>
              </w:rPr>
              <w:t>或其投标产品生产厂家</w:t>
            </w:r>
            <w:r>
              <w:rPr>
                <w:rFonts w:hint="eastAsia" w:ascii="宋体" w:hAnsi="宋体" w:cs="宋体"/>
                <w:szCs w:val="21"/>
              </w:rPr>
              <w:t xml:space="preserve">具备有效的职业健康管理体系认证。  </w:t>
            </w:r>
          </w:p>
        </w:tc>
      </w:tr>
      <w:tr w14:paraId="5FC6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06" w:type="dxa"/>
            <w:tcBorders>
              <w:top w:val="single" w:color="auto" w:sz="4" w:space="0"/>
              <w:left w:val="single" w:color="auto" w:sz="4" w:space="0"/>
              <w:bottom w:val="single" w:color="auto" w:sz="4" w:space="0"/>
              <w:right w:val="single" w:color="auto" w:sz="4" w:space="0"/>
            </w:tcBorders>
            <w:vAlign w:val="center"/>
          </w:tcPr>
          <w:p w14:paraId="3AE82CCB">
            <w:pPr>
              <w:pStyle w:val="11"/>
              <w:snapToGrid w:val="0"/>
              <w:spacing w:line="400" w:lineRule="exact"/>
              <w:jc w:val="center"/>
              <w:rPr>
                <w:rFonts w:hint="eastAsia" w:hAnsi="宋体" w:cs="宋体"/>
                <w:bCs/>
              </w:rPr>
            </w:pPr>
            <w:r>
              <w:rPr>
                <w:rFonts w:hint="eastAsia" w:hAnsi="宋体" w:cs="宋体"/>
                <w:bCs/>
              </w:rPr>
              <w:t>能力或业绩要求（如有）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780B2CE7">
            <w:pPr>
              <w:pStyle w:val="11"/>
              <w:snapToGrid w:val="0"/>
              <w:spacing w:line="400" w:lineRule="exact"/>
              <w:rPr>
                <w:rFonts w:hint="eastAsia" w:hAnsi="宋体" w:cs="宋体"/>
                <w:bCs/>
              </w:rPr>
            </w:pPr>
            <w:r>
              <w:rPr>
                <w:rFonts w:hint="eastAsia" w:ascii="Arial" w:hAnsi="Arial" w:cs="Arial"/>
              </w:rPr>
              <w:t>投标人2021</w:t>
            </w:r>
            <w:r>
              <w:rPr>
                <w:rFonts w:ascii="Arial" w:hAnsi="Arial" w:cs="Arial"/>
              </w:rPr>
              <w:t>年</w:t>
            </w:r>
            <w:r>
              <w:rPr>
                <w:rFonts w:hint="eastAsia" w:ascii="Arial" w:hAnsi="Arial" w:cs="Arial"/>
              </w:rPr>
              <w:t>6</w:t>
            </w:r>
            <w:r>
              <w:rPr>
                <w:rFonts w:ascii="Arial" w:hAnsi="Arial" w:cs="Arial"/>
              </w:rPr>
              <w:t>月1日以来完成的类似项目业绩。</w:t>
            </w:r>
          </w:p>
        </w:tc>
      </w:tr>
    </w:tbl>
    <w:p w14:paraId="011DAA1E">
      <w:pPr>
        <w:sectPr>
          <w:pgSz w:w="11906" w:h="16838"/>
          <w:pgMar w:top="1440" w:right="1440" w:bottom="1440" w:left="1440" w:header="851" w:footer="992" w:gutter="0"/>
          <w:cols w:space="720" w:num="1"/>
          <w:docGrid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978"/>
        <w:gridCol w:w="758"/>
        <w:gridCol w:w="7065"/>
        <w:gridCol w:w="7"/>
      </w:tblGrid>
      <w:tr w14:paraId="6DCCD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000" w:type="pct"/>
            <w:gridSpan w:val="5"/>
            <w:vAlign w:val="center"/>
          </w:tcPr>
          <w:p w14:paraId="0203FB50">
            <w:pPr>
              <w:widowControl/>
              <w:jc w:val="center"/>
              <w:rPr>
                <w:rFonts w:hint="eastAsia" w:ascii="宋体" w:hAnsi="宋体" w:cstheme="minorEastAsia"/>
                <w:kern w:val="0"/>
                <w:szCs w:val="21"/>
                <w:lang w:bidi="ar"/>
              </w:rPr>
            </w:pPr>
            <w:r>
              <w:rPr>
                <w:rFonts w:hint="eastAsia" w:asciiTheme="minorEastAsia" w:hAnsiTheme="minorEastAsia" w:cstheme="minorEastAsia"/>
                <w:b/>
                <w:kern w:val="0"/>
                <w:sz w:val="28"/>
                <w:szCs w:val="28"/>
                <w:lang w:bidi="ar"/>
              </w:rPr>
              <w:t>4分标技术参数要求</w:t>
            </w:r>
          </w:p>
        </w:tc>
      </w:tr>
      <w:tr w14:paraId="4777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394" w:hRule="atLeast"/>
        </w:trPr>
        <w:tc>
          <w:tcPr>
            <w:tcW w:w="235" w:type="pct"/>
            <w:vAlign w:val="center"/>
          </w:tcPr>
          <w:p w14:paraId="663E531A">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项号</w:t>
            </w:r>
          </w:p>
        </w:tc>
        <w:tc>
          <w:tcPr>
            <w:tcW w:w="529" w:type="pct"/>
            <w:vAlign w:val="center"/>
          </w:tcPr>
          <w:p w14:paraId="0006EB15">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产品名称</w:t>
            </w:r>
          </w:p>
        </w:tc>
        <w:tc>
          <w:tcPr>
            <w:tcW w:w="410" w:type="pct"/>
            <w:vAlign w:val="center"/>
          </w:tcPr>
          <w:p w14:paraId="247547EB">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数量</w:t>
            </w:r>
          </w:p>
        </w:tc>
        <w:tc>
          <w:tcPr>
            <w:tcW w:w="3822" w:type="pct"/>
            <w:tcBorders>
              <w:bottom w:val="single" w:color="auto" w:sz="4" w:space="0"/>
            </w:tcBorders>
            <w:vAlign w:val="center"/>
          </w:tcPr>
          <w:p w14:paraId="4254BA32">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技术参数要求</w:t>
            </w:r>
          </w:p>
        </w:tc>
      </w:tr>
      <w:tr w14:paraId="19FE8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738" w:hRule="atLeast"/>
        </w:trPr>
        <w:tc>
          <w:tcPr>
            <w:tcW w:w="235" w:type="pct"/>
            <w:vAlign w:val="center"/>
          </w:tcPr>
          <w:p w14:paraId="5C7EAF5F">
            <w:pPr>
              <w:widowControl/>
              <w:jc w:val="center"/>
              <w:rPr>
                <w:rFonts w:hint="eastAsia" w:ascii="宋体" w:hAnsi="宋体" w:cstheme="minorEastAsia"/>
                <w:kern w:val="0"/>
                <w:szCs w:val="21"/>
                <w:lang w:bidi="ar"/>
              </w:rPr>
            </w:pPr>
            <w:r>
              <w:rPr>
                <w:rFonts w:hint="eastAsia" w:ascii="宋体" w:hAnsi="宋体" w:cstheme="minorEastAsia"/>
                <w:kern w:val="0"/>
                <w:szCs w:val="21"/>
                <w:lang w:bidi="ar"/>
              </w:rPr>
              <w:t>39</w:t>
            </w:r>
          </w:p>
        </w:tc>
        <w:tc>
          <w:tcPr>
            <w:tcW w:w="529" w:type="pct"/>
            <w:shd w:val="clear" w:color="auto" w:fill="auto"/>
            <w:vAlign w:val="center"/>
          </w:tcPr>
          <w:p w14:paraId="031AC4B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配套公共卫生与应急虚拟仿真实验教学系统</w:t>
            </w:r>
          </w:p>
        </w:tc>
        <w:tc>
          <w:tcPr>
            <w:tcW w:w="410" w:type="pct"/>
            <w:shd w:val="clear" w:color="auto" w:fill="auto"/>
            <w:vAlign w:val="center"/>
          </w:tcPr>
          <w:p w14:paraId="34F8E42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1套</w:t>
            </w:r>
          </w:p>
        </w:tc>
        <w:tc>
          <w:tcPr>
            <w:tcW w:w="3822" w:type="pct"/>
            <w:shd w:val="clear" w:color="auto" w:fill="auto"/>
          </w:tcPr>
          <w:p w14:paraId="4B55F0A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一、系统纲要</w:t>
            </w:r>
          </w:p>
          <w:p w14:paraId="3AFD4B5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    本项目系统适用于医院本科教学、住院医师规范化、临床医师实训/培训，系统基于人工智能生成角色代理技术开发，以智能虚拟标准化病人案例课程为教学内容，虚拟病人包含病史采集、体格检查、实验室检查、影像检查等数据信息，支持学习者对虚拟病人的初步诊断、鉴别诊断、诊断计划和治疗计划等考核功能。系统具有虚拟导师教学功能，能够基于疾病知识库和学习者的操作数据提供人机对话教学功能。在案例学习完成后，系统能够基于人工智能教学评价方法呈现学习者的学习记录和思维可视化呈现。并能够从元认知策略教学促进学习者的自主学习能力。</w:t>
            </w:r>
          </w:p>
          <w:p w14:paraId="2241512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二、学习端功能参数：</w:t>
            </w:r>
          </w:p>
          <w:p w14:paraId="3ED3369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▲1.系统支持多人、多角色同时在线。</w:t>
            </w:r>
          </w:p>
          <w:p w14:paraId="47E2D8A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2.系统具有自动检测版本和在线更新功能。</w:t>
            </w:r>
          </w:p>
          <w:p w14:paraId="649EAB0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3.个人身份登录方法：</w:t>
            </w:r>
          </w:p>
          <w:p w14:paraId="3613168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（1）使用个人账号和密码登录。</w:t>
            </w:r>
          </w:p>
          <w:p w14:paraId="15536E9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（2）绑定个人微信后使用扫码登录。</w:t>
            </w:r>
          </w:p>
          <w:p w14:paraId="3CC5756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4.系统包含案例课程：</w:t>
            </w:r>
          </w:p>
          <w:p w14:paraId="7E35201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▲（1）病例1：人免疫缺陷病毒(HIV)患者实训课程</w:t>
            </w:r>
          </w:p>
          <w:p w14:paraId="571D1D5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① 病史采集：支持自然语言沟通和文字交流，病史采集内容包含一般情况、主诉、现病史、既往史、个人史（性生活、吸毒、疫区生活史）、婚姻史、生育史、家族史、系统回顾等内容。</w:t>
            </w:r>
          </w:p>
          <w:p w14:paraId="12FBB71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② 体格检查：支持语音口令和项目菜单两种检查项目识别，支持完整体格检查所有项目的结果返回。</w:t>
            </w:r>
          </w:p>
          <w:p w14:paraId="5DAB224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③ 实验检查：支持血常规检查、免疫学检查、血清学检查、HIV-RNA检查等医院诊疗系统常用检验学和影像学检查项目及检查结果反馈。检查返回结果为系统自生成电子格式，影像学支持DICOM格式，可以进行测量、标注、缩放、明暗灰度调节等功能。</w:t>
            </w:r>
          </w:p>
          <w:p w14:paraId="094ED77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④ 初步诊断和鉴别诊断：支持语音录入和文本书写鉴别诊断及依据，系统能够基于人工智能语音识别对学习者录入文本进行评价。</w:t>
            </w:r>
          </w:p>
          <w:p w14:paraId="30AD73C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⑤ 诊疗计划：支持语音录入和文本书写进一步诊断计划及治疗计划。支持医嘱的开具和药物库中药物治疗方案的选取与设置。</w:t>
            </w:r>
          </w:p>
          <w:p w14:paraId="093FA14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⑥ 信息上报：具有疾控预防与控制中心信息模拟上报系统，支持传染病管理系统信息上报的操作模拟。</w:t>
            </w:r>
          </w:p>
          <w:p w14:paraId="691B615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⑦ 病历小结及病历书写：具有医院诊疗系统的病案管理与病案建立模拟功能，支持对主诉、现病史、流行病学史、辅助检查、鉴别诊断和诊疗计划的书写及系统的自动判读。</w:t>
            </w:r>
          </w:p>
          <w:p w14:paraId="5A72D93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⑧ 医患沟通与健康教育：支持教师用户对人文关怀共情话题的自由设置，学习者可以与3D虚拟患者进行自由语言沟通，实践医患沟通和健康教育。</w:t>
            </w:r>
          </w:p>
          <w:p w14:paraId="0304082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▲（2）病例2：结核患者实训课程</w:t>
            </w:r>
          </w:p>
          <w:p w14:paraId="4CBA36C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① 病史采集：支持自然语言沟通和文字交流，病史采集内容包含一般情况、主诉、现病史、既往史、个人史（吸烟史）、婚姻史、生育史、家族史、流行病学史等内容。</w:t>
            </w:r>
          </w:p>
          <w:p w14:paraId="1ED381D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② 体格检查：支持语音口令和项目菜单两种检查项目识别，支持完整体格检查所有项目的结果返回，具有肺部听诊、触诊、视诊等重点体格检查项目的阳性病症，支持肺部听诊呼吸音的特征音频呈现。</w:t>
            </w:r>
          </w:p>
          <w:p w14:paraId="33295CB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③ 实验检查：支持临检（血、尿、便常规）、生化、免疫、微生物检验常规检验学项目的选取和结果返回。重要检查项目包含血常规、结核菌素皮肤试验、γ-干扰素释放试验、结核抗体、痰涂片检查、结核分枝杆菌培养-菌种鉴定-药敏实验、tNGS结核耐药检测、Xpert检测、胸部DR、胸部CT的阳性结果返回和呈现为系统自生成电子格式，影像学支持DICOM格式，可以进行但不限于测量、标注、缩放、明暗灰度调节的功能。</w:t>
            </w:r>
          </w:p>
          <w:p w14:paraId="54D6AE1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④ 初步诊断和鉴别诊断：支持语音录入和文本书写鉴别诊断及依据，系统能够基于人工智能语音识别对学习者录入文本进行评价。</w:t>
            </w:r>
          </w:p>
          <w:p w14:paraId="4AE2CCB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⑤诊疗计划：支持语音录入和文本书写下进一步诊断计划及治疗计划。支持医嘱的开具和药物库中药物治疗方案的选取与设置。</w:t>
            </w:r>
          </w:p>
          <w:p w14:paraId="79D3EF6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⑥  结核病患者上报及登记：具有疾控预防与控制中心信息模拟上报系统，支持对疑似或确诊的肺结核病人进行疫情登记和网络上报，支持填写《传染病报告卡》《结核病患者治疗卡》《服药卡》。</w:t>
            </w:r>
          </w:p>
          <w:p w14:paraId="52933BD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⑦病历小结及病历书写：具有医院诊疗系统的病案管理与病案建立模拟功能，支持对主诉、现病史、流行病学史、辅助检查、鉴别诊断和诊疗计划的书写及系统的自动判读。</w:t>
            </w:r>
          </w:p>
          <w:p w14:paraId="756BC4F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⑧ 医患沟通与健康教育：支持教师用户对人文关怀共情话题的自由设置，学习者可以与3D虚拟患者进行自由语言沟通，针对医患沟通人文关怀和疾病传播途径、疾病预后、规范治疗的重要性内容的健康教育。系统支持学习者与虚拟患者进行医患沟通和健康教育的智能评价。</w:t>
            </w:r>
          </w:p>
          <w:p w14:paraId="4270A02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5.虚拟医院：</w:t>
            </w:r>
          </w:p>
          <w:p w14:paraId="75BD09C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虚拟医院具有完整的门诊大厅、门诊室、传染病区、传染病房等3D虚拟功能空间，空间分布符合“三区两通道”等传染病布局基本要求，能够搭载虚拟标准化病人和实践课程，并具备可扩展性。具体要求如下：</w:t>
            </w:r>
          </w:p>
          <w:p w14:paraId="702C082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虚拟门诊，具有诊桌、诊床等相应功能设备和家具，可预置标准化虚拟病人，可对虚拟标准化病人进行病史采集和体格检查，可通过虚拟诊疗系统完成对病人的实验检查开具、实验结果查看等功能，可模拟真实的门诊患者临床路径。</w:t>
            </w:r>
          </w:p>
          <w:p w14:paraId="6442A93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虚拟病房，具有病床、医用气体管道、病人数字信息标牌等功能设备和家具。可通过系统预置标准化病人，支持对3D虚拟病人的语言沟通交流，支持医嘱的开具和护理措施的执行，支持3D虚拟患者的病情发展，病例能够表现出该疾病从发病开始，到改善、治愈出院，或者到严重、危重甚至死亡的整个变化过程。</w:t>
            </w:r>
          </w:p>
          <w:p w14:paraId="6C63BC5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（3）隔离病房，在第一缓冲、第二缓冲、病房的空间转换时：训练模式下规定必须的完成项（例如洗手和隔离衣穿脱等），才能进入下一间；考核模式下，不设置提示和进出房间限制。</w:t>
            </w:r>
          </w:p>
          <w:p w14:paraId="493C2E8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▲（4）数字病房具备时间管理概念，数字患者内置病程进展的时间轴，医生/护士的临床/护理决策、决策时效性均会引起时间轴发生相应的变化。</w:t>
            </w:r>
          </w:p>
          <w:p w14:paraId="24D155B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6.系统包含以下教学模式：</w:t>
            </w:r>
          </w:p>
          <w:p w14:paraId="0DD15C0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（1）教学引导模式：病例学习时间不限，具有智能导师教学引导功能。</w:t>
            </w:r>
          </w:p>
          <w:p w14:paraId="33C4C55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（2）训练提高模式：病例学习时间不限，在完成病历实践训练后系统具有考核评价、记录回顾、思维导图、学习成长记录功能。</w:t>
            </w:r>
          </w:p>
          <w:p w14:paraId="1ED2C4E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（3）教学考试模式：在设定时间内完成制定病例考试内容，具体考试内容由考试病例设计者进行自定义设置，功能包含病史小结、初步诊断界面，鉴别诊断和完整诊断，诊疗计划和医嘱撰写。</w:t>
            </w:r>
          </w:p>
          <w:p w14:paraId="16D81A1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7.AI虚拟标准化病人功能：</w:t>
            </w:r>
          </w:p>
          <w:p w14:paraId="7B6DFE8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虚拟病人症状表达功能：虚拟病人能够综合模拟和体现临床病人的主诉症状，如身体部位水肿、肤色改变、颈部淋巴结肿大、三凹征、巩膜黄染、蜘蛛痣等疾病导致的身体体表形态改变及精神不振等综合症状模拟，学习者能够非常清晰地辨别出以上症状。</w:t>
            </w:r>
          </w:p>
          <w:p w14:paraId="45CB86BF">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虚拟病人语义理解功能：虚拟病人能够准确理解学习者的语音语义，对学习者的发问能够按照病例设定内容给予准确的反馈，支持学习者连续多个问题的发问并能够准确做出回答。回答应符合真正病人的思维和特征。</w:t>
            </w:r>
          </w:p>
          <w:p w14:paraId="2BFD1C4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▲（3）虚拟病人动作反馈功能：虚拟病人能够听懂和理解学习者对于需要动作配合的发问意图，可以按照学习者的要求做出暴露身体部位并展示症状的动作，可以做出动作来表达自己的情绪。</w:t>
            </w:r>
          </w:p>
          <w:p w14:paraId="283300A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（4）实验检查反馈功能：虚拟病人具有健全的实验检查数据，系统能够根据学习者对于实验检查项目的开具呈现相应项目的电子数据，包含检验学、心电图、影像学等实验检查结果数据。</w:t>
            </w:r>
          </w:p>
          <w:p w14:paraId="47ABC76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8.学习者操作功能：</w:t>
            </w:r>
          </w:p>
          <w:p w14:paraId="240C9222">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▲（1）病史采集功能：学习者可以通过实时语音（非固定剧本问题）或文字聊天方式与虚拟病人进行会话沟通。</w:t>
            </w:r>
          </w:p>
          <w:p w14:paraId="114ED72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（2）体格检查功能：学习者可以通过语音沟通或体格检查项目菜单点选方式对虚拟标准化病人进行体格检查，能够在听诊检查中听到相应的音频播放。</w:t>
            </w:r>
          </w:p>
          <w:p w14:paraId="18A1B55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实验检查功能：能够基于快速选项和标准菜单选择对虚拟病人开具实验检查项目；检查结果的出具呈现为电子数据格式，符合EMR电子病历共享文档规范，学习者可以基于临床检验项目和具体指标进行自由选择；系统中包含医学影像读片功能，能够让学习者对影像检查结果进行测量、视窗调节等常规功能。系统提供对所有实验检查项目的快速检索功能。</w:t>
            </w:r>
          </w:p>
          <w:p w14:paraId="0EB7665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▲（4）病史小结功能：支持学习者通过语音或文字输入撰写病史小结功能。</w:t>
            </w:r>
          </w:p>
          <w:p w14:paraId="2CDEAC6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（5）诊断考核功能：具有初步诊断、鉴别诊断和全面诊断三个进程的考核功能，学习者可以通过语音或文字输入疾病名称和鉴别诊断的依据及思考。</w:t>
            </w:r>
          </w:p>
          <w:p w14:paraId="7588516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（6）虚拟病人对医嘱开具的临床干预措施须自动反馈相应的生理变化，包括虚拟人体特征及生命体征监护数据。临床干预措施必须包含但不限于：</w:t>
            </w:r>
          </w:p>
          <w:p w14:paraId="09A84E9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常规临床和护理干预措施，艾滋病患者、结核患者、新冠患者的特殊临床干预措施，临床特殊处置（气管插管、输少浆血、成分输血、腹腔穿刺、胸腔穿刺、骨髓穿刺、腰椎穿刺、内镜室各项镜检、导尿、换药、心肺复苏、气管切开、针灸等），部分艾滋病和结核病相关的手术干预。</w:t>
            </w:r>
          </w:p>
          <w:p w14:paraId="18DBACB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7）药物的施用方式可选择口服，静脉推注，肌肉注射，雾化吸入，静脉输液，中心静脉推注，直肠给药等。药物的浓度和计量也可选择。具备药物作用，使用药物后，自动引起虚拟病人生理变化。可在化验结果、虚拟病人体征以及模拟监护仪的体征实时变化。</w:t>
            </w:r>
          </w:p>
          <w:p w14:paraId="3E7E4C6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①药物种类包括艾滋病治疗和结核病的常规临床用药，及其他常见临床用药：抗微生物药、抗寄生虫药、神经系统药物、抗精神失常药物、解热镇痛抗炎药、麻醉药及麻醉辅助用药、呼吸系统药物、循环系统药物、消化系统药物、泌尿系统药物、血液系统药物、代谢及内分泌系统药物、抗变态反应药物、治疗肿瘤的药物、维生素及矿物质缺乏症药物、水电解质酸碱平衡调节药、营养治疗药物、解毒药、皮肤科用药、眼科用药、妇产科用药、男科用药、生物制品、诊断用药物（例如造影剂等）等。</w:t>
            </w:r>
          </w:p>
          <w:p w14:paraId="0E46471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②系统具备虚拟病人药物分布和排泄符合药代动力学，药物浓度完全跟真实临床一致。虚拟模拟人系统用药原则紧跟美国AHA的最新指南。 </w:t>
            </w:r>
          </w:p>
          <w:p w14:paraId="3922FDC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（8）诊疗记录实时查看功能：学习者可以随时查看对虚拟病人的诊疗记录。</w:t>
            </w:r>
          </w:p>
          <w:p w14:paraId="0E6D7CE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（9）虚拟患者的住院各项费用可统计，有门诊和病房结算金额显示（暂不核算医保和DRG体系）。</w:t>
            </w:r>
          </w:p>
          <w:p w14:paraId="195D6EB4">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9.虚拟导师教学功能</w:t>
            </w:r>
          </w:p>
          <w:p w14:paraId="306CBF7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▲（1）人机对话功能：学习者可以点击AI虚拟导师开启人机对话，可以向AI虚拟导师咨询系统操作、专业知识及课程案例等方面的问题。</w:t>
            </w:r>
          </w:p>
          <w:p w14:paraId="56FAFEE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（2）教学引导功能：AI虚拟导师可以基于学习者在案例课程中的操作数据展开分析，通过提问的方式对学习者进行教学引导。</w:t>
            </w:r>
          </w:p>
          <w:p w14:paraId="7612556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（3）分析上报功能：AI虚拟导师可以对与学习者的对话记录开展分析，并对学习者的知识掌握情况撰写小结，同时将对话记录上报给教师用户。</w:t>
            </w:r>
          </w:p>
          <w:p w14:paraId="3863876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10.完成质量评价功能</w:t>
            </w:r>
          </w:p>
          <w:p w14:paraId="5D4DF70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（1）总结性评价功能，系统在学习者完成病例课程实践学习后，具有以下总结性评价功能：</w:t>
            </w:r>
          </w:p>
          <w:p w14:paraId="130B5A8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① 系统能够自动统计总分与用时。</w:t>
            </w:r>
          </w:p>
          <w:p w14:paraId="359CDEB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② 系统能够自动统计给出病史采集、体格检查、实验检查、初步诊断、鉴别诊断、诊疗计划六项的得分及评分依据。</w:t>
            </w:r>
          </w:p>
          <w:p w14:paraId="5E18B4A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③ 系统能够给出自动评语，包含理论知识能力、信息收集能力、元认知能力。</w:t>
            </w:r>
          </w:p>
          <w:p w14:paraId="74D7178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④ 系统能够给出学习者横向对比分析数据，针对该案例课程历史学习数据与本次学习的个体数据开展分析并给出可视化数据报告。</w:t>
            </w:r>
          </w:p>
          <w:p w14:paraId="7AAF4E7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（2）形成性评价功能，系统能够记录学习者的学习操作记录并给予形成性评价的回顾分析，具体功能如下：</w:t>
            </w:r>
          </w:p>
          <w:p w14:paraId="326322B3">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① 学习记录回顾与得分详情：包含病例学习完整过程的详细记录，并针对每一步操作记录给与重要度和关键性评价，并给出得分依据。</w:t>
            </w:r>
          </w:p>
          <w:p w14:paraId="2036E84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② 临床思维能力的回顾分析：系统能够将学习者对虚拟病人的信息收集按照主题模块化与学习者的收集信息分析进行关联并展开分析，并以可视化的数据进行呈现。</w:t>
            </w:r>
          </w:p>
          <w:p w14:paraId="757A791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③ 人文关怀的总体分析：系统能够对学习者与病人沟通过程开展人文关怀方面的分析，并对人文关怀的考核要点给出评分和评语。</w:t>
            </w:r>
          </w:p>
          <w:p w14:paraId="768413C9">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④ 思维导图可视化功能：系统具有回顾性思维导图功能，以数据可视化图形的方式显示，学习者在案例课程实践学习中的临床思维路径。</w:t>
            </w:r>
          </w:p>
          <w:p w14:paraId="43F7FB48">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⑤ 成长记录分析功能，系统具有学习者个人学习成长的统计功能，能够给出最近20次的训练成绩数据可视化图形成长记录。 </w:t>
            </w:r>
          </w:p>
          <w:p w14:paraId="1B6FDD5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三、教学管理系统功能参数</w:t>
            </w:r>
          </w:p>
          <w:p w14:paraId="2D8B0077">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 平台支持微信等扫码方式登录、账号密码登录。</w:t>
            </w:r>
          </w:p>
          <w:p w14:paraId="489D8F0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 教师后台包含学情监测、课程病例、考试管理、成绩管理、用户管理等功能模块。</w:t>
            </w:r>
          </w:p>
          <w:p w14:paraId="5F83CE90">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 学情监测管理能够统计学情数据总览、学习记录、群体性反馈、预警信息列表等信息。</w:t>
            </w:r>
          </w:p>
          <w:p w14:paraId="5E9842CD">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 病例课程管理功能：</w:t>
            </w:r>
          </w:p>
          <w:p w14:paraId="1247A02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（1）病例信息卡能够显示该病例的主诉、初步诊断疾病和该病例主题标签。</w:t>
            </w:r>
          </w:p>
          <w:p w14:paraId="60D8687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（2）教师用户可以查看该病例的详细信息，包含病例课程的病史采集、体格检查、实验检查和考核模块的详细设置。</w:t>
            </w:r>
          </w:p>
          <w:p w14:paraId="692C64B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（3）教师用户可以选择是否发布该病例，可以通过取消发布对该病例到未发布病例中进行重新编辑。</w:t>
            </w:r>
          </w:p>
          <w:p w14:paraId="67207EE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 xml:space="preserve"> 5. 教师自建教学案例功能：</w:t>
            </w:r>
          </w:p>
          <w:p w14:paraId="64B0FCC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▲（1）教师用户可以通过新建病例课程功能自建教学病例。</w:t>
            </w:r>
          </w:p>
          <w:p w14:paraId="74DEDD45">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（2）新建病例功能包含对病例的信息设置、虚拟标准化病人的信息数据设置、病例考核内容设置、病例知识库设置等功能模块的数据编辑与数据导入。</w:t>
            </w:r>
          </w:p>
          <w:p w14:paraId="24DBA4F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（3）自建教学病例可以通过3D虚拟标准化病人库选择病人形象和身份信息。</w:t>
            </w:r>
          </w:p>
          <w:p w14:paraId="195560BE">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（4）教师用户可以按照病史采集、体格检查、实验检查、初步诊断、鉴别诊断、诊疗计划和考核内容逐一进行编辑设置。</w:t>
            </w:r>
          </w:p>
          <w:p w14:paraId="7B6D22E6">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5）教师用户可以在系统中病史采集编辑模块直接抽选问诊问题对其重要程度和患者回答进行修改编辑；可以基于系统资源库选择虚拟病人的听诊音频资源、心电图资源、实验检查项目及具体指标数据编辑，可以选择或者上传影像学数据。</w:t>
            </w:r>
          </w:p>
          <w:p w14:paraId="24E0D58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（6）教师用户自建案例完成后系统可自动生成教学模式和训练模式两种学习模式。</w:t>
            </w:r>
          </w:p>
          <w:p w14:paraId="606B8AC1">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6. 系统考试管理功能：</w:t>
            </w:r>
          </w:p>
          <w:p w14:paraId="18B7069A">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（1）教师用户可以针对考试进行组卷并建立考试任务，并自由从考试案例库中选择案例作为考试内容。</w:t>
            </w:r>
          </w:p>
          <w:p w14:paraId="4084F86B">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（2）教师用户可以将考试任务推送到参与考试班级的所有成员，并设置该考试的开始时间和结束时间。</w:t>
            </w:r>
          </w:p>
          <w:p w14:paraId="483AFCBC">
            <w:pPr>
              <w:widowControl/>
              <w:jc w:val="left"/>
              <w:rPr>
                <w:rFonts w:hint="eastAsia" w:ascii="宋体" w:hAnsi="宋体" w:cstheme="minorEastAsia"/>
                <w:kern w:val="0"/>
                <w:szCs w:val="21"/>
                <w:lang w:bidi="ar"/>
              </w:rPr>
            </w:pPr>
            <w:r>
              <w:rPr>
                <w:rFonts w:hint="eastAsia" w:ascii="宋体" w:hAnsi="宋体" w:cstheme="minorEastAsia"/>
                <w:kern w:val="0"/>
                <w:szCs w:val="21"/>
                <w:lang w:bidi="ar"/>
              </w:rPr>
              <w:t>（3）教师用户可以将教学病例库中病例抽取到考试病例库中，同时教学病例库将不再拥有该病例课程。</w:t>
            </w:r>
          </w:p>
        </w:tc>
      </w:tr>
    </w:tbl>
    <w:p w14:paraId="06EB43B2">
      <w:pPr>
        <w:rPr>
          <w:b/>
          <w:bCs/>
        </w:rPr>
        <w:sectPr>
          <w:pgSz w:w="11906" w:h="16838"/>
          <w:pgMar w:top="1440" w:right="1440" w:bottom="1440" w:left="1440" w:header="851" w:footer="992" w:gutter="0"/>
          <w:cols w:space="720" w:num="1"/>
          <w:docGrid w:linePitch="312" w:charSpace="0"/>
        </w:sectPr>
      </w:pPr>
    </w:p>
    <w:tbl>
      <w:tblPr>
        <w:tblStyle w:val="17"/>
        <w:tblpPr w:leftFromText="180" w:rightFromText="180" w:vertAnchor="text" w:horzAnchor="page" w:tblpX="1399" w:tblpY="247"/>
        <w:tblOverlap w:val="never"/>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7890"/>
      </w:tblGrid>
      <w:tr w14:paraId="4810E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5840C6A1">
            <w:pPr>
              <w:spacing w:line="400" w:lineRule="exact"/>
              <w:jc w:val="center"/>
              <w:rPr>
                <w:rFonts w:hint="eastAsia" w:ascii="宋体" w:hAnsi="宋体" w:cs="宋体"/>
                <w:szCs w:val="21"/>
              </w:rPr>
            </w:pPr>
            <w:r>
              <w:rPr>
                <w:rFonts w:hint="eastAsia" w:asciiTheme="minorEastAsia" w:hAnsiTheme="minorEastAsia" w:cstheme="minorEastAsia"/>
                <w:b/>
                <w:kern w:val="0"/>
                <w:sz w:val="28"/>
                <w:szCs w:val="28"/>
                <w:lang w:bidi="ar"/>
              </w:rPr>
              <w:t>4分标商务要求</w:t>
            </w:r>
          </w:p>
        </w:tc>
      </w:tr>
      <w:tr w14:paraId="7A92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806" w:type="dxa"/>
            <w:tcBorders>
              <w:top w:val="single" w:color="auto" w:sz="4" w:space="0"/>
              <w:left w:val="single" w:color="auto" w:sz="4" w:space="0"/>
              <w:bottom w:val="single" w:color="auto" w:sz="4" w:space="0"/>
              <w:right w:val="single" w:color="auto" w:sz="4" w:space="0"/>
            </w:tcBorders>
            <w:vAlign w:val="center"/>
          </w:tcPr>
          <w:p w14:paraId="4C90C5F8">
            <w:pPr>
              <w:pStyle w:val="11"/>
              <w:snapToGrid w:val="0"/>
              <w:spacing w:line="400" w:lineRule="exact"/>
              <w:jc w:val="center"/>
              <w:rPr>
                <w:rFonts w:hint="eastAsia" w:hAnsi="宋体" w:cs="宋体"/>
                <w:bCs/>
              </w:rPr>
            </w:pPr>
            <w:r>
              <w:rPr>
                <w:rFonts w:hint="eastAsia" w:hAnsi="宋体" w:cs="宋体"/>
                <w:bCs/>
              </w:rPr>
              <w:t>基本要求</w:t>
            </w:r>
          </w:p>
        </w:tc>
        <w:tc>
          <w:tcPr>
            <w:tcW w:w="7890" w:type="dxa"/>
            <w:tcBorders>
              <w:top w:val="single" w:color="auto" w:sz="4" w:space="0"/>
              <w:left w:val="single" w:color="auto" w:sz="4" w:space="0"/>
              <w:bottom w:val="single" w:color="auto" w:sz="4" w:space="0"/>
              <w:right w:val="single" w:color="auto" w:sz="4" w:space="0"/>
            </w:tcBorders>
            <w:vAlign w:val="center"/>
          </w:tcPr>
          <w:p w14:paraId="6907A830">
            <w:pPr>
              <w:snapToGrid w:val="0"/>
              <w:spacing w:line="400" w:lineRule="exact"/>
              <w:rPr>
                <w:rFonts w:hint="eastAsia" w:ascii="宋体" w:hAnsi="宋体" w:cs="宋体"/>
                <w:szCs w:val="21"/>
              </w:rPr>
            </w:pPr>
            <w:r>
              <w:rPr>
                <w:rFonts w:hint="eastAsia" w:ascii="宋体" w:hAnsi="宋体" w:cs="宋体"/>
                <w:szCs w:val="21"/>
              </w:rPr>
              <w:t>1.本项目投标报价包括货物及货物运抵指定交付地点的各种费用、随配附件、备品备件、易损件、专用工具、安装调试、技术培训、技术资料、包装、售后服务、保险费、税金、验收检验及其他所有成本费用的总和；</w:t>
            </w:r>
          </w:p>
          <w:p w14:paraId="65CC2542">
            <w:pPr>
              <w:spacing w:line="400" w:lineRule="exact"/>
              <w:rPr>
                <w:rFonts w:hint="eastAsia" w:ascii="宋体" w:hAnsi="宋体" w:cs="宋体"/>
                <w:szCs w:val="21"/>
              </w:rPr>
            </w:pPr>
            <w:r>
              <w:rPr>
                <w:rFonts w:hint="eastAsia" w:ascii="宋体" w:hAnsi="宋体" w:cs="宋体"/>
                <w:szCs w:val="21"/>
              </w:rPr>
              <w:t>2.投标人应保证投标产品涉及到的知识产权和所提供的相关技术资料是合法取得，不会因为采购人的使用而被责令停止使用、追偿或要求赔偿损失，如出现此情况，一切经济和法律责任均由投标人承担；</w:t>
            </w:r>
          </w:p>
          <w:p w14:paraId="63BE3D6D">
            <w:pPr>
              <w:spacing w:line="400" w:lineRule="exact"/>
              <w:rPr>
                <w:rFonts w:hint="eastAsia" w:ascii="宋体" w:hAnsi="宋体" w:cs="宋体"/>
                <w:szCs w:val="21"/>
              </w:rPr>
            </w:pPr>
            <w:r>
              <w:rPr>
                <w:rFonts w:hint="eastAsia" w:ascii="宋体" w:hAnsi="宋体" w:cs="宋体"/>
                <w:szCs w:val="21"/>
              </w:rPr>
              <w:t>3.投标人应列明详细的产品及相关产品及部件名称、品牌、型号规格、产地和生产厂家及提供完整的技术文件；</w:t>
            </w:r>
          </w:p>
          <w:p w14:paraId="14476062">
            <w:pPr>
              <w:spacing w:line="400" w:lineRule="exact"/>
              <w:rPr>
                <w:rFonts w:hint="eastAsia" w:ascii="宋体" w:hAnsi="宋体" w:cs="宋体"/>
                <w:szCs w:val="21"/>
              </w:rPr>
            </w:pPr>
            <w:r>
              <w:rPr>
                <w:rFonts w:hint="eastAsia" w:ascii="宋体" w:hAnsi="宋体" w:cs="宋体"/>
                <w:szCs w:val="21"/>
              </w:rPr>
              <w:t>4.投标文件应正确反映投标产品的技术水平和科技含量，投标产品如包括必备的随机附件及零配件、易损易耗备品备件和专用工具，投标人应提供其清单；</w:t>
            </w:r>
          </w:p>
          <w:p w14:paraId="114944A7">
            <w:pPr>
              <w:spacing w:line="400" w:lineRule="exact"/>
              <w:rPr>
                <w:rFonts w:hint="eastAsia" w:ascii="宋体" w:hAnsi="宋体" w:cs="宋体"/>
                <w:szCs w:val="21"/>
              </w:rPr>
            </w:pPr>
            <w:r>
              <w:rPr>
                <w:rFonts w:hint="eastAsia" w:ascii="宋体" w:hAnsi="宋体" w:cs="宋体"/>
                <w:szCs w:val="21"/>
              </w:rPr>
              <w:t>5.投标人所投产品应符合国家有关部门规定的相应技术、节能、安全和环保标准；国家有关部门对所投产品有强制性规定或要求的，必须符合相应规定或要求。</w:t>
            </w:r>
          </w:p>
          <w:p w14:paraId="42DB8539">
            <w:pPr>
              <w:spacing w:line="400" w:lineRule="exact"/>
              <w:rPr>
                <w:rFonts w:hint="eastAsia" w:ascii="宋体" w:hAnsi="宋体" w:cs="宋体"/>
                <w:szCs w:val="21"/>
              </w:rPr>
            </w:pPr>
            <w:r>
              <w:rPr>
                <w:rFonts w:hint="eastAsia" w:ascii="宋体" w:hAnsi="宋体" w:cs="宋体"/>
                <w:szCs w:val="21"/>
              </w:rPr>
              <w:t>6.从通过验收即日起计算，存在质量问题的货物，提供15天包换。</w:t>
            </w:r>
          </w:p>
        </w:tc>
      </w:tr>
      <w:tr w14:paraId="16C5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67C1BF3F">
            <w:pPr>
              <w:pStyle w:val="11"/>
              <w:snapToGrid w:val="0"/>
              <w:spacing w:line="400" w:lineRule="exact"/>
              <w:jc w:val="center"/>
              <w:rPr>
                <w:rFonts w:hint="eastAsia" w:hAnsi="宋体" w:cs="宋体"/>
                <w:bCs/>
              </w:rPr>
            </w:pPr>
            <w:r>
              <w:rPr>
                <w:rFonts w:hint="eastAsia" w:hAnsi="宋体" w:cs="宋体"/>
                <w:bCs/>
              </w:rPr>
              <w:t>售后服务以及其他要求</w:t>
            </w:r>
          </w:p>
        </w:tc>
        <w:tc>
          <w:tcPr>
            <w:tcW w:w="7890" w:type="dxa"/>
            <w:tcBorders>
              <w:top w:val="single" w:color="auto" w:sz="4" w:space="0"/>
              <w:left w:val="single" w:color="auto" w:sz="4" w:space="0"/>
              <w:bottom w:val="single" w:color="auto" w:sz="4" w:space="0"/>
              <w:right w:val="single" w:color="auto" w:sz="4" w:space="0"/>
            </w:tcBorders>
            <w:vAlign w:val="center"/>
          </w:tcPr>
          <w:p w14:paraId="0ED2C8DA">
            <w:pPr>
              <w:pStyle w:val="4"/>
              <w:spacing w:line="400" w:lineRule="exact"/>
              <w:ind w:left="0"/>
              <w:rPr>
                <w:rFonts w:hint="eastAsia" w:ascii="宋体" w:hAnsi="宋体" w:cs="宋体"/>
                <w:szCs w:val="21"/>
              </w:rPr>
            </w:pPr>
            <w:r>
              <w:rPr>
                <w:rFonts w:hint="eastAsia" w:ascii="宋体" w:hAnsi="宋体" w:cs="宋体"/>
                <w:szCs w:val="21"/>
              </w:rPr>
              <w:t>一.售后服务最低要求</w:t>
            </w:r>
          </w:p>
          <w:p w14:paraId="47701B6D">
            <w:pPr>
              <w:pStyle w:val="4"/>
              <w:spacing w:line="400" w:lineRule="exact"/>
              <w:ind w:left="0"/>
              <w:rPr>
                <w:rFonts w:hint="eastAsia" w:ascii="宋体" w:hAnsi="宋体" w:cs="宋体"/>
                <w:szCs w:val="21"/>
              </w:rPr>
            </w:pPr>
            <w:r>
              <w:rPr>
                <w:rFonts w:hint="eastAsia" w:ascii="宋体" w:hAnsi="宋体" w:cs="宋体"/>
                <w:szCs w:val="21"/>
              </w:rPr>
              <w:t>▲1.供应商提供的所有产品必须是全新的、完整的原装产品。</w:t>
            </w:r>
          </w:p>
          <w:p w14:paraId="32D90256">
            <w:pPr>
              <w:pStyle w:val="4"/>
              <w:spacing w:line="400" w:lineRule="exact"/>
              <w:ind w:left="0"/>
              <w:rPr>
                <w:rFonts w:hint="eastAsia" w:ascii="宋体" w:hAnsi="宋体" w:cs="宋体"/>
                <w:szCs w:val="21"/>
              </w:rPr>
            </w:pPr>
            <w:r>
              <w:rPr>
                <w:rFonts w:hint="eastAsia" w:ascii="宋体" w:hAnsi="宋体" w:cs="宋体"/>
                <w:szCs w:val="21"/>
              </w:rPr>
              <w:t>▲2.质量保质期要求：按国家有关产品“三包”规定执行“三包”，质保期为自验收合格之日起至少1年。</w:t>
            </w:r>
          </w:p>
          <w:p w14:paraId="4A3B59A2">
            <w:pPr>
              <w:pStyle w:val="4"/>
              <w:spacing w:line="400" w:lineRule="exact"/>
              <w:ind w:left="0"/>
              <w:rPr>
                <w:rFonts w:hint="eastAsia" w:ascii="宋体" w:hAnsi="宋体" w:cs="宋体"/>
                <w:szCs w:val="21"/>
              </w:rPr>
            </w:pPr>
            <w:r>
              <w:rPr>
                <w:rFonts w:hint="eastAsia" w:ascii="宋体" w:hAnsi="宋体" w:cs="宋体"/>
                <w:szCs w:val="21"/>
              </w:rPr>
              <w:t>3.在项目实施过程中或在质保期内，因采购人的项目实施地点变更的，中标人必须无条件配合完成相关工作，包括但不限于：</w:t>
            </w:r>
          </w:p>
          <w:p w14:paraId="61EA8520">
            <w:pPr>
              <w:pStyle w:val="4"/>
              <w:spacing w:line="400" w:lineRule="exact"/>
              <w:ind w:left="0"/>
              <w:rPr>
                <w:rFonts w:hint="eastAsia" w:ascii="宋体" w:hAnsi="宋体" w:cs="宋体"/>
                <w:szCs w:val="21"/>
              </w:rPr>
            </w:pPr>
            <w:r>
              <w:rPr>
                <w:rFonts w:hint="eastAsia" w:ascii="宋体" w:hAnsi="宋体" w:cs="宋体"/>
                <w:szCs w:val="21"/>
              </w:rPr>
              <w:t>3.1. 设备及材料的搬迁：安排并承担设备及材料从原地点到新地点的搬迁工作，确保设备在搬迁过程中不受损坏。</w:t>
            </w:r>
          </w:p>
          <w:p w14:paraId="7D01FE54">
            <w:pPr>
              <w:pStyle w:val="4"/>
              <w:spacing w:line="400" w:lineRule="exact"/>
              <w:ind w:left="0"/>
              <w:rPr>
                <w:rFonts w:hint="eastAsia" w:ascii="宋体" w:hAnsi="宋体" w:cs="宋体"/>
                <w:szCs w:val="21"/>
              </w:rPr>
            </w:pPr>
            <w:r>
              <w:rPr>
                <w:rFonts w:hint="eastAsia" w:ascii="宋体" w:hAnsi="宋体" w:cs="宋体"/>
                <w:szCs w:val="21"/>
              </w:rPr>
              <w:t>3.2. 安装与调试：在新地点重新进行设备的安装与调试，确保设备能够正常运行，并达到合同规定的性能标准。</w:t>
            </w:r>
          </w:p>
          <w:p w14:paraId="5086D753">
            <w:pPr>
              <w:pStyle w:val="4"/>
              <w:spacing w:line="400" w:lineRule="exact"/>
              <w:ind w:left="0"/>
              <w:rPr>
                <w:rFonts w:hint="eastAsia" w:ascii="宋体" w:hAnsi="宋体" w:cs="宋体"/>
                <w:szCs w:val="21"/>
              </w:rPr>
            </w:pPr>
            <w:r>
              <w:rPr>
                <w:rFonts w:hint="eastAsia" w:ascii="宋体" w:hAnsi="宋体" w:cs="宋体"/>
                <w:szCs w:val="21"/>
              </w:rPr>
              <w:t>3.3. 维护与保养：在新地点继续履行质保期内的维护与保养义务，确保设备在质保期内的正常运行。</w:t>
            </w:r>
          </w:p>
          <w:p w14:paraId="5FFF59E6">
            <w:pPr>
              <w:pStyle w:val="4"/>
              <w:spacing w:line="400" w:lineRule="exact"/>
              <w:ind w:left="0"/>
              <w:rPr>
                <w:rFonts w:hint="eastAsia" w:ascii="宋体" w:hAnsi="宋体" w:cs="宋体"/>
                <w:szCs w:val="21"/>
              </w:rPr>
            </w:pPr>
            <w:r>
              <w:rPr>
                <w:rFonts w:hint="eastAsia" w:ascii="宋体" w:hAnsi="宋体" w:cs="宋体"/>
                <w:szCs w:val="21"/>
              </w:rPr>
              <w:t>3.4. 文档更新：根据新地点的实际情况，更新相关技术文档、操作手册及维护记录，并提交给采购方。</w:t>
            </w:r>
          </w:p>
          <w:p w14:paraId="6228C915">
            <w:pPr>
              <w:pStyle w:val="4"/>
              <w:spacing w:line="400" w:lineRule="exact"/>
              <w:ind w:left="0"/>
              <w:rPr>
                <w:rFonts w:hint="eastAsia" w:ascii="宋体" w:hAnsi="宋体" w:cs="宋体"/>
                <w:szCs w:val="21"/>
              </w:rPr>
            </w:pPr>
            <w:r>
              <w:rPr>
                <w:rFonts w:hint="eastAsia" w:ascii="宋体" w:hAnsi="宋体" w:cs="宋体"/>
                <w:szCs w:val="21"/>
              </w:rPr>
              <w:t>3.5. 应急处理：在搬迁及重新安装过程中，如遇突发情况，供应商应迅速响应并采取有效措施，确保项目不受影响。</w:t>
            </w:r>
          </w:p>
          <w:p w14:paraId="51B7267C">
            <w:pPr>
              <w:pStyle w:val="4"/>
              <w:spacing w:line="400" w:lineRule="exact"/>
              <w:ind w:left="0"/>
              <w:rPr>
                <w:rFonts w:hint="eastAsia" w:ascii="宋体" w:hAnsi="宋体" w:cs="宋体"/>
                <w:szCs w:val="21"/>
              </w:rPr>
            </w:pPr>
            <w:r>
              <w:rPr>
                <w:rFonts w:hint="eastAsia" w:ascii="宋体" w:hAnsi="宋体" w:cs="宋体"/>
                <w:szCs w:val="21"/>
              </w:rPr>
              <w:t>4.售后服务：</w:t>
            </w:r>
          </w:p>
          <w:p w14:paraId="7A4C468C">
            <w:pPr>
              <w:pStyle w:val="4"/>
              <w:spacing w:line="400" w:lineRule="exact"/>
              <w:ind w:left="0"/>
              <w:rPr>
                <w:rFonts w:hint="eastAsia" w:ascii="宋体" w:hAnsi="宋体" w:cs="宋体"/>
                <w:szCs w:val="21"/>
              </w:rPr>
            </w:pPr>
            <w:r>
              <w:rPr>
                <w:rFonts w:hint="eastAsia" w:ascii="宋体" w:hAnsi="宋体" w:cs="宋体"/>
                <w:szCs w:val="21"/>
              </w:rPr>
              <w:t>4.1. 在质保期内免费提供系统维护和升级服务。质保期结束后，可以选择延长质保期，投标方需提供相应的费用和服务方案。</w:t>
            </w:r>
          </w:p>
          <w:p w14:paraId="5B3B7174">
            <w:pPr>
              <w:pStyle w:val="4"/>
              <w:spacing w:line="400" w:lineRule="exact"/>
              <w:ind w:left="0"/>
              <w:rPr>
                <w:rFonts w:hint="eastAsia" w:ascii="宋体" w:hAnsi="宋体" w:cs="宋体"/>
                <w:szCs w:val="21"/>
              </w:rPr>
            </w:pPr>
            <w:r>
              <w:rPr>
                <w:rFonts w:hint="eastAsia" w:ascii="宋体" w:hAnsi="宋体" w:cs="宋体"/>
                <w:szCs w:val="21"/>
              </w:rPr>
              <w:t>4.2. 提供产品终身24/7的技术支持热线，确保在任何时间都能获得技术支持。</w:t>
            </w:r>
          </w:p>
          <w:p w14:paraId="127C4E14">
            <w:pPr>
              <w:pStyle w:val="4"/>
              <w:spacing w:line="400" w:lineRule="exact"/>
              <w:ind w:left="0"/>
              <w:rPr>
                <w:rFonts w:hint="eastAsia" w:ascii="宋体" w:hAnsi="宋体" w:cs="宋体"/>
                <w:szCs w:val="21"/>
              </w:rPr>
            </w:pPr>
            <w:r>
              <w:rPr>
                <w:rFonts w:hint="eastAsia" w:ascii="宋体" w:hAnsi="宋体" w:cs="宋体"/>
                <w:szCs w:val="21"/>
              </w:rPr>
              <w:t>4.3. 为客户提供详细的操作和维护培训，提供详细的培训手册和操作指南。</w:t>
            </w:r>
          </w:p>
          <w:p w14:paraId="45CC0E10">
            <w:pPr>
              <w:pStyle w:val="4"/>
              <w:spacing w:line="400" w:lineRule="exact"/>
              <w:ind w:left="0"/>
              <w:rPr>
                <w:rFonts w:hint="eastAsia" w:ascii="宋体" w:hAnsi="宋体" w:cs="宋体"/>
                <w:szCs w:val="21"/>
              </w:rPr>
            </w:pPr>
            <w:r>
              <w:rPr>
                <w:rFonts w:hint="eastAsia" w:ascii="宋体" w:hAnsi="宋体" w:cs="宋体"/>
                <w:szCs w:val="21"/>
              </w:rPr>
              <w:t>4.4. 维修响应参考一般响应：2小时之内响应，1周内完成修复。更换零部件的30天内完成修复。</w:t>
            </w:r>
          </w:p>
          <w:p w14:paraId="40444983">
            <w:pPr>
              <w:pStyle w:val="4"/>
              <w:spacing w:line="400" w:lineRule="exact"/>
              <w:ind w:left="0"/>
              <w:rPr>
                <w:rFonts w:hint="eastAsia" w:ascii="宋体" w:hAnsi="宋体" w:cs="宋体"/>
                <w:szCs w:val="21"/>
              </w:rPr>
            </w:pPr>
          </w:p>
        </w:tc>
      </w:tr>
      <w:tr w14:paraId="5951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6" w:type="dxa"/>
            <w:tcBorders>
              <w:top w:val="single" w:color="auto" w:sz="4" w:space="0"/>
              <w:left w:val="single" w:color="auto" w:sz="4" w:space="0"/>
              <w:bottom w:val="single" w:color="auto" w:sz="4" w:space="0"/>
              <w:right w:val="single" w:color="auto" w:sz="4" w:space="0"/>
            </w:tcBorders>
            <w:vAlign w:val="center"/>
          </w:tcPr>
          <w:p w14:paraId="20C215B6">
            <w:pPr>
              <w:pStyle w:val="11"/>
              <w:snapToGrid w:val="0"/>
              <w:spacing w:line="400" w:lineRule="exact"/>
              <w:jc w:val="center"/>
              <w:rPr>
                <w:rFonts w:hint="eastAsia" w:hAnsi="宋体" w:cs="宋体"/>
                <w:bCs/>
              </w:rPr>
            </w:pPr>
            <w:r>
              <w:rPr>
                <w:rFonts w:hint="eastAsia" w:hAnsi="宋体" w:cs="宋体"/>
                <w:bCs/>
              </w:rPr>
              <w:t>交货时间及地点</w:t>
            </w:r>
          </w:p>
        </w:tc>
        <w:tc>
          <w:tcPr>
            <w:tcW w:w="7890" w:type="dxa"/>
            <w:tcBorders>
              <w:top w:val="single" w:color="auto" w:sz="4" w:space="0"/>
              <w:left w:val="single" w:color="auto" w:sz="4" w:space="0"/>
              <w:bottom w:val="single" w:color="auto" w:sz="4" w:space="0"/>
              <w:right w:val="single" w:color="auto" w:sz="4" w:space="0"/>
            </w:tcBorders>
            <w:vAlign w:val="center"/>
          </w:tcPr>
          <w:p w14:paraId="50C79F03">
            <w:pPr>
              <w:pStyle w:val="11"/>
              <w:snapToGrid w:val="0"/>
              <w:spacing w:line="400" w:lineRule="exact"/>
              <w:rPr>
                <w:rFonts w:hint="eastAsia" w:hAnsi="宋体" w:cs="宋体"/>
                <w:bCs/>
              </w:rPr>
            </w:pPr>
            <w:r>
              <w:rPr>
                <w:rFonts w:hint="eastAsia" w:hAnsi="宋体" w:cs="宋体"/>
                <w:bCs/>
              </w:rPr>
              <w:t>▲1.交货时间：合同签订之日起90日历天内安装调试完毕，验收合格并交付使用。</w:t>
            </w:r>
          </w:p>
          <w:p w14:paraId="152C2343">
            <w:pPr>
              <w:pStyle w:val="11"/>
              <w:snapToGrid w:val="0"/>
              <w:spacing w:line="400" w:lineRule="exact"/>
              <w:rPr>
                <w:rFonts w:hint="eastAsia" w:hAnsi="宋体" w:cs="宋体"/>
                <w:bCs/>
              </w:rPr>
            </w:pPr>
            <w:r>
              <w:rPr>
                <w:rFonts w:hint="eastAsia" w:hAnsi="宋体" w:cs="宋体"/>
              </w:rPr>
              <w:t>▲</w:t>
            </w:r>
            <w:r>
              <w:rPr>
                <w:rFonts w:hint="eastAsia" w:hAnsi="宋体" w:cs="宋体"/>
                <w:bCs/>
              </w:rPr>
              <w:t>2.交货地点：广西柳州羊角山路8号，广西壮族自治区胸科医院。</w:t>
            </w:r>
          </w:p>
        </w:tc>
      </w:tr>
      <w:tr w14:paraId="558F3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28B87C89">
            <w:pPr>
              <w:pStyle w:val="11"/>
              <w:snapToGrid w:val="0"/>
              <w:spacing w:line="400" w:lineRule="exact"/>
              <w:jc w:val="center"/>
              <w:rPr>
                <w:rFonts w:hint="eastAsia" w:hAnsi="宋体" w:cs="宋体"/>
                <w:bCs/>
              </w:rPr>
            </w:pPr>
            <w:r>
              <w:rPr>
                <w:rFonts w:hint="eastAsia" w:hAnsi="宋体" w:cs="宋体"/>
                <w:bCs/>
              </w:rPr>
              <w:t>付款方式</w:t>
            </w:r>
          </w:p>
        </w:tc>
        <w:tc>
          <w:tcPr>
            <w:tcW w:w="7890" w:type="dxa"/>
            <w:tcBorders>
              <w:top w:val="single" w:color="auto" w:sz="4" w:space="0"/>
              <w:left w:val="single" w:color="auto" w:sz="4" w:space="0"/>
              <w:bottom w:val="single" w:color="auto" w:sz="4" w:space="0"/>
              <w:right w:val="single" w:color="auto" w:sz="4" w:space="0"/>
            </w:tcBorders>
            <w:vAlign w:val="center"/>
          </w:tcPr>
          <w:p w14:paraId="488E4F90">
            <w:pPr>
              <w:pStyle w:val="11"/>
              <w:snapToGrid w:val="0"/>
              <w:spacing w:line="400" w:lineRule="exact"/>
              <w:rPr>
                <w:rFonts w:hint="eastAsia" w:hAnsi="宋体" w:cs="宋体"/>
              </w:rPr>
            </w:pPr>
            <w:r>
              <w:rPr>
                <w:rFonts w:hint="eastAsia" w:hAnsi="宋体" w:cs="宋体"/>
              </w:rPr>
              <w:t>1.预付款</w:t>
            </w:r>
          </w:p>
          <w:p w14:paraId="168F1F35">
            <w:pPr>
              <w:pStyle w:val="11"/>
              <w:snapToGrid w:val="0"/>
              <w:spacing w:line="400" w:lineRule="exact"/>
              <w:rPr>
                <w:rFonts w:hint="eastAsia" w:hAnsi="宋体" w:cs="宋体"/>
              </w:rPr>
            </w:pPr>
            <w:r>
              <w:rPr>
                <w:rFonts w:hint="eastAsia" w:hAnsi="宋体" w:cs="宋体"/>
              </w:rPr>
              <w:t>自签订合同之日起的第15个工作日内，甲方向乙方支付合同金额的30%。</w:t>
            </w:r>
          </w:p>
          <w:p w14:paraId="0BACEA35">
            <w:pPr>
              <w:pStyle w:val="11"/>
              <w:snapToGrid w:val="0"/>
              <w:spacing w:line="400" w:lineRule="exact"/>
              <w:rPr>
                <w:rFonts w:hint="eastAsia" w:hAnsi="宋体" w:cs="宋体"/>
              </w:rPr>
            </w:pPr>
            <w:r>
              <w:rPr>
                <w:rFonts w:hint="eastAsia" w:hAnsi="宋体" w:cs="宋体"/>
              </w:rPr>
              <w:t>2.进度款</w:t>
            </w:r>
          </w:p>
          <w:p w14:paraId="03A19E57">
            <w:pPr>
              <w:pStyle w:val="11"/>
              <w:snapToGrid w:val="0"/>
              <w:spacing w:line="400" w:lineRule="exact"/>
              <w:rPr>
                <w:rFonts w:hint="eastAsia" w:hAnsi="宋体" w:cs="宋体"/>
              </w:rPr>
            </w:pPr>
            <w:r>
              <w:rPr>
                <w:rFonts w:hint="eastAsia" w:hAnsi="宋体" w:cs="宋体"/>
              </w:rPr>
              <w:t>当项目完成安装调试，验收合格，并正式运行后的15个工作日内，甲方向乙方支付合同金额的70%。</w:t>
            </w:r>
          </w:p>
          <w:p w14:paraId="6A443416">
            <w:pPr>
              <w:pStyle w:val="11"/>
              <w:snapToGrid w:val="0"/>
              <w:spacing w:line="400" w:lineRule="exact"/>
              <w:rPr>
                <w:rFonts w:hint="eastAsia" w:hAnsi="宋体" w:cs="宋体"/>
              </w:rPr>
            </w:pPr>
            <w:r>
              <w:rPr>
                <w:rFonts w:hint="eastAsia" w:hAnsi="宋体" w:cs="宋体"/>
                <w:b/>
                <w:bCs/>
              </w:rPr>
              <w:t>注：中标单位每次请款时必须提供等额发票给采购人。</w:t>
            </w:r>
          </w:p>
        </w:tc>
      </w:tr>
      <w:tr w14:paraId="22187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6" w:type="dxa"/>
            <w:tcBorders>
              <w:top w:val="single" w:color="auto" w:sz="4" w:space="0"/>
              <w:left w:val="single" w:color="auto" w:sz="4" w:space="0"/>
              <w:bottom w:val="single" w:color="auto" w:sz="4" w:space="0"/>
              <w:right w:val="single" w:color="auto" w:sz="4" w:space="0"/>
            </w:tcBorders>
            <w:vAlign w:val="center"/>
          </w:tcPr>
          <w:p w14:paraId="71557E8A">
            <w:pPr>
              <w:spacing w:line="400" w:lineRule="exact"/>
              <w:ind w:right="-27" w:rightChars="-13"/>
              <w:jc w:val="center"/>
              <w:rPr>
                <w:rFonts w:hint="eastAsia" w:ascii="宋体" w:hAnsi="宋体" w:cs="宋体"/>
                <w:bCs/>
                <w:szCs w:val="21"/>
                <w:lang w:val="en-GB"/>
              </w:rPr>
            </w:pPr>
            <w:r>
              <w:rPr>
                <w:rFonts w:hint="eastAsia" w:ascii="宋体" w:hAnsi="宋体" w:cs="宋体"/>
                <w:szCs w:val="21"/>
              </w:rPr>
              <w:t>履约保证金</w:t>
            </w:r>
          </w:p>
        </w:tc>
        <w:tc>
          <w:tcPr>
            <w:tcW w:w="7890" w:type="dxa"/>
            <w:tcBorders>
              <w:top w:val="single" w:color="auto" w:sz="4" w:space="0"/>
              <w:left w:val="single" w:color="auto" w:sz="4" w:space="0"/>
              <w:bottom w:val="single" w:color="auto" w:sz="4" w:space="0"/>
              <w:right w:val="single" w:color="auto" w:sz="4" w:space="0"/>
            </w:tcBorders>
            <w:vAlign w:val="center"/>
          </w:tcPr>
          <w:p w14:paraId="77E47109">
            <w:pPr>
              <w:numPr>
                <w:ilvl w:val="255"/>
                <w:numId w:val="0"/>
              </w:numPr>
              <w:spacing w:line="400" w:lineRule="exact"/>
              <w:jc w:val="left"/>
              <w:rPr>
                <w:rFonts w:hint="eastAsia" w:ascii="宋体" w:hAnsi="宋体" w:cs="宋体"/>
                <w:bCs/>
                <w:szCs w:val="21"/>
              </w:rPr>
            </w:pPr>
            <w:r>
              <w:rPr>
                <w:rFonts w:hint="eastAsia" w:ascii="宋体" w:hAnsi="宋体" w:cs="宋体"/>
                <w:bCs/>
                <w:szCs w:val="21"/>
              </w:rPr>
              <w:t>1.合同金额的2%。由中标人于项目验收合格后10个工作日内支付至采购人如下账户：</w:t>
            </w:r>
          </w:p>
          <w:p w14:paraId="11D15EAF">
            <w:pPr>
              <w:pStyle w:val="16"/>
              <w:spacing w:line="400" w:lineRule="exact"/>
              <w:ind w:left="0" w:leftChars="0" w:firstLine="0" w:firstLineChars="0"/>
            </w:pPr>
            <w:r>
              <w:t>开户名称：广西壮族自治区胸科医院</w:t>
            </w:r>
          </w:p>
          <w:p w14:paraId="282A0F28">
            <w:pPr>
              <w:pStyle w:val="16"/>
              <w:spacing w:line="400" w:lineRule="exact"/>
              <w:ind w:left="0" w:leftChars="0" w:firstLine="0" w:firstLineChars="0"/>
            </w:pPr>
            <w:r>
              <w:t>开户银行：</w:t>
            </w:r>
          </w:p>
          <w:p w14:paraId="7094321E">
            <w:pPr>
              <w:pStyle w:val="16"/>
              <w:spacing w:line="400" w:lineRule="exact"/>
              <w:ind w:left="0" w:leftChars="0" w:firstLine="0" w:firstLineChars="0"/>
            </w:pPr>
            <w:r>
              <w:t>银行账号：</w:t>
            </w:r>
          </w:p>
          <w:p w14:paraId="005398C5">
            <w:pPr>
              <w:pStyle w:val="16"/>
              <w:spacing w:line="400" w:lineRule="exact"/>
              <w:ind w:left="0" w:leftChars="0" w:firstLine="0" w:firstLineChars="0"/>
              <w:rPr>
                <w:rFonts w:hint="eastAsia" w:ascii="宋体" w:hAnsi="宋体" w:cs="宋体"/>
                <w:bCs/>
                <w:szCs w:val="21"/>
              </w:rPr>
            </w:pPr>
            <w:r>
              <w:rPr>
                <w:rFonts w:hint="eastAsia"/>
              </w:rPr>
              <w:t>2.履约保证于项目质保期结束后15日历天内退回（不计息）。</w:t>
            </w:r>
          </w:p>
        </w:tc>
      </w:tr>
      <w:tr w14:paraId="31E2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trPr>
        <w:tc>
          <w:tcPr>
            <w:tcW w:w="1806" w:type="dxa"/>
            <w:tcBorders>
              <w:top w:val="single" w:color="auto" w:sz="4" w:space="0"/>
              <w:left w:val="single" w:color="auto" w:sz="4" w:space="0"/>
              <w:bottom w:val="single" w:color="auto" w:sz="4" w:space="0"/>
              <w:right w:val="single" w:color="auto" w:sz="4" w:space="0"/>
            </w:tcBorders>
            <w:vAlign w:val="center"/>
          </w:tcPr>
          <w:p w14:paraId="1FCF37FF">
            <w:pPr>
              <w:widowControl/>
              <w:spacing w:line="400" w:lineRule="exact"/>
              <w:jc w:val="center"/>
              <w:textAlignment w:val="center"/>
              <w:rPr>
                <w:rFonts w:hint="eastAsia" w:ascii="宋体" w:hAnsi="宋体" w:cs="宋体"/>
                <w:szCs w:val="21"/>
              </w:rPr>
            </w:pPr>
            <w:r>
              <w:rPr>
                <w:rFonts w:hint="eastAsia" w:ascii="宋体" w:hAnsi="宋体" w:cs="宋体"/>
                <w:szCs w:val="21"/>
              </w:rPr>
              <w:t>备品备件及耗材等要求</w:t>
            </w:r>
          </w:p>
        </w:tc>
        <w:tc>
          <w:tcPr>
            <w:tcW w:w="7890" w:type="dxa"/>
            <w:tcBorders>
              <w:top w:val="single" w:color="auto" w:sz="4" w:space="0"/>
              <w:left w:val="single" w:color="auto" w:sz="4" w:space="0"/>
              <w:bottom w:val="single" w:color="auto" w:sz="4" w:space="0"/>
              <w:right w:val="single" w:color="auto" w:sz="4" w:space="0"/>
            </w:tcBorders>
            <w:vAlign w:val="center"/>
          </w:tcPr>
          <w:p w14:paraId="6BA4052E">
            <w:pPr>
              <w:widowControl/>
              <w:spacing w:line="400" w:lineRule="exact"/>
              <w:jc w:val="left"/>
              <w:textAlignment w:val="center"/>
              <w:rPr>
                <w:rFonts w:hint="eastAsia" w:ascii="宋体" w:hAnsi="宋体" w:cs="宋体"/>
                <w:szCs w:val="21"/>
              </w:rPr>
            </w:pPr>
            <w:r>
              <w:rPr>
                <w:rFonts w:hint="eastAsia" w:ascii="宋体" w:hAnsi="宋体" w:cs="宋体"/>
                <w:szCs w:val="21"/>
              </w:rPr>
              <w:t>1.投标人所提供零部件、配件及安装材料必须是符合国家规定质量安全标准的全新、合格产品；该项费用应包含在报价中；</w:t>
            </w:r>
          </w:p>
          <w:p w14:paraId="0E67A3DC">
            <w:pPr>
              <w:widowControl/>
              <w:spacing w:line="400" w:lineRule="exact"/>
              <w:jc w:val="left"/>
              <w:textAlignment w:val="center"/>
              <w:rPr>
                <w:rFonts w:hint="eastAsia" w:ascii="宋体" w:hAnsi="宋体" w:cs="宋体"/>
                <w:szCs w:val="21"/>
              </w:rPr>
            </w:pPr>
            <w:r>
              <w:rPr>
                <w:rFonts w:hint="eastAsia" w:ascii="宋体" w:hAnsi="宋体" w:cs="宋体"/>
                <w:szCs w:val="21"/>
              </w:rPr>
              <w:t>2.投标人所提供完整的全套设备须包括必备的易损耗备件和专用工具；</w:t>
            </w:r>
          </w:p>
          <w:p w14:paraId="3905E2FF">
            <w:pPr>
              <w:widowControl/>
              <w:spacing w:line="400" w:lineRule="exact"/>
              <w:jc w:val="left"/>
              <w:textAlignment w:val="center"/>
              <w:rPr>
                <w:rFonts w:hint="eastAsia" w:ascii="宋体" w:hAnsi="宋体" w:cs="宋体"/>
                <w:b/>
                <w:bCs/>
                <w:szCs w:val="21"/>
              </w:rPr>
            </w:pPr>
            <w:r>
              <w:rPr>
                <w:rFonts w:hint="eastAsia" w:ascii="宋体" w:hAnsi="宋体" w:cs="宋体"/>
                <w:szCs w:val="21"/>
              </w:rPr>
              <w:t>3.投标人必须有完善的备品备件库体系，质保期内能提供相应的免费的措施和配件，保证过质保期后</w:t>
            </w:r>
            <w:r>
              <w:rPr>
                <w:rFonts w:hint="eastAsia" w:ascii="宋体" w:hAnsi="宋体" w:cs="宋体"/>
                <w:szCs w:val="21"/>
                <w:u w:val="single"/>
              </w:rPr>
              <w:t>五年内</w:t>
            </w:r>
            <w:r>
              <w:rPr>
                <w:rFonts w:hint="eastAsia" w:ascii="宋体" w:hAnsi="宋体" w:cs="宋体"/>
                <w:szCs w:val="21"/>
              </w:rPr>
              <w:t>有足够的备品备件，为完成本项目技术支持、服务需求提供可靠保证。</w:t>
            </w:r>
          </w:p>
        </w:tc>
      </w:tr>
      <w:tr w14:paraId="089E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4DE5EC16">
            <w:pPr>
              <w:pStyle w:val="11"/>
              <w:snapToGrid w:val="0"/>
              <w:spacing w:line="400" w:lineRule="exact"/>
              <w:rPr>
                <w:rFonts w:hint="eastAsia" w:hAnsi="宋体" w:cs="宋体"/>
                <w:bCs/>
              </w:rPr>
            </w:pPr>
            <w:r>
              <w:rPr>
                <w:rFonts w:hint="eastAsia" w:hAnsi="宋体" w:cs="宋体"/>
                <w:b/>
                <w:bCs/>
              </w:rPr>
              <w:t>三、验收要求</w:t>
            </w:r>
          </w:p>
        </w:tc>
      </w:tr>
      <w:tr w14:paraId="602AD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806" w:type="dxa"/>
            <w:tcBorders>
              <w:top w:val="single" w:color="auto" w:sz="4" w:space="0"/>
              <w:left w:val="single" w:color="auto" w:sz="4" w:space="0"/>
              <w:bottom w:val="single" w:color="auto" w:sz="4" w:space="0"/>
              <w:right w:val="single" w:color="auto" w:sz="4" w:space="0"/>
            </w:tcBorders>
            <w:vAlign w:val="center"/>
          </w:tcPr>
          <w:p w14:paraId="50FFE8EC">
            <w:pPr>
              <w:pStyle w:val="11"/>
              <w:snapToGrid w:val="0"/>
              <w:spacing w:line="400" w:lineRule="exact"/>
              <w:jc w:val="center"/>
              <w:rPr>
                <w:rFonts w:hint="eastAsia" w:hAnsi="宋体" w:cs="宋体"/>
                <w:bCs/>
              </w:rPr>
            </w:pPr>
            <w:r>
              <w:rPr>
                <w:rFonts w:hint="eastAsia" w:hAnsi="宋体" w:cs="宋体"/>
                <w:bCs/>
              </w:rPr>
              <w:t>验收标准及要求</w:t>
            </w:r>
          </w:p>
        </w:tc>
        <w:tc>
          <w:tcPr>
            <w:tcW w:w="7890" w:type="dxa"/>
            <w:tcBorders>
              <w:top w:val="single" w:color="auto" w:sz="4" w:space="0"/>
              <w:left w:val="single" w:color="auto" w:sz="4" w:space="0"/>
              <w:bottom w:val="single" w:color="auto" w:sz="4" w:space="0"/>
              <w:right w:val="single" w:color="auto" w:sz="4" w:space="0"/>
            </w:tcBorders>
            <w:vAlign w:val="center"/>
          </w:tcPr>
          <w:p w14:paraId="04978CB1">
            <w:pPr>
              <w:pStyle w:val="11"/>
              <w:snapToGrid w:val="0"/>
              <w:spacing w:line="400" w:lineRule="exact"/>
              <w:rPr>
                <w:rFonts w:hint="eastAsia" w:hAnsi="宋体" w:cs="宋体"/>
              </w:rPr>
            </w:pPr>
            <w:r>
              <w:rPr>
                <w:rFonts w:hint="eastAsia" w:hAnsi="宋体" w:cs="宋体"/>
              </w:rPr>
              <w:t>1.国家强制性技术标准及有关规定；</w:t>
            </w:r>
          </w:p>
          <w:p w14:paraId="44FD0571">
            <w:pPr>
              <w:pStyle w:val="11"/>
              <w:snapToGrid w:val="0"/>
              <w:spacing w:line="400" w:lineRule="exact"/>
              <w:rPr>
                <w:rFonts w:hint="eastAsia" w:hAnsi="宋体" w:cs="宋体"/>
              </w:rPr>
            </w:pPr>
            <w:r>
              <w:rPr>
                <w:rFonts w:hint="eastAsia" w:hAnsi="宋体" w:cs="宋体"/>
              </w:rPr>
              <w:t>2.交货验收时，采购人根据《广西壮族自治区政府采购项目履约验收管理办法》的规定，由采购人及中标人双方共同进行验收。必要时可委托国家认可的质量检测机构开展采购项目验收工作；</w:t>
            </w:r>
          </w:p>
          <w:p w14:paraId="39C6A129">
            <w:pPr>
              <w:pStyle w:val="11"/>
              <w:snapToGrid w:val="0"/>
              <w:spacing w:line="400" w:lineRule="exact"/>
              <w:rPr>
                <w:rFonts w:hint="eastAsia" w:hAnsi="宋体" w:cs="宋体"/>
              </w:rPr>
            </w:pPr>
            <w:r>
              <w:rPr>
                <w:rFonts w:hint="eastAsia" w:hAnsi="宋体" w:cs="宋体"/>
              </w:rPr>
              <w:t>3.本项目因中标人提供的货物不能满足采购需求的技术参数或其投标文件承诺等原因无法通过验收，造成不能按时、按质、按量完成项目要求的，将按照《中华人民共和国政府采购法》等法律法规由中标人承担相应的法律责任；</w:t>
            </w:r>
          </w:p>
          <w:p w14:paraId="142164F5">
            <w:pPr>
              <w:pStyle w:val="11"/>
              <w:snapToGrid w:val="0"/>
              <w:spacing w:line="400" w:lineRule="exact"/>
              <w:rPr>
                <w:rFonts w:hint="eastAsia" w:hAnsi="宋体" w:cs="宋体"/>
                <w:bCs/>
              </w:rPr>
            </w:pPr>
            <w:r>
              <w:rPr>
                <w:rFonts w:hint="eastAsia" w:hAnsi="宋体" w:cs="宋体"/>
              </w:rPr>
              <w:t>4.验收费用：验收所产生的检验费及相关的全部费用均由中标人承担。</w:t>
            </w:r>
          </w:p>
        </w:tc>
      </w:tr>
      <w:tr w14:paraId="44D4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96" w:type="dxa"/>
            <w:gridSpan w:val="2"/>
            <w:tcBorders>
              <w:top w:val="single" w:color="auto" w:sz="4" w:space="0"/>
              <w:left w:val="single" w:color="auto" w:sz="4" w:space="0"/>
              <w:bottom w:val="single" w:color="auto" w:sz="4" w:space="0"/>
              <w:right w:val="single" w:color="auto" w:sz="4" w:space="0"/>
            </w:tcBorders>
            <w:vAlign w:val="center"/>
          </w:tcPr>
          <w:p w14:paraId="661EC0B8">
            <w:pPr>
              <w:pStyle w:val="11"/>
              <w:snapToGrid w:val="0"/>
              <w:spacing w:line="400" w:lineRule="exact"/>
              <w:rPr>
                <w:rFonts w:hint="eastAsia" w:hAnsi="宋体" w:cs="宋体"/>
                <w:b/>
                <w:bCs/>
              </w:rPr>
            </w:pPr>
            <w:r>
              <w:rPr>
                <w:rFonts w:hint="eastAsia" w:hAnsi="宋体" w:cs="宋体"/>
                <w:b/>
                <w:bCs/>
              </w:rPr>
              <w:t>四、资信要求</w:t>
            </w:r>
          </w:p>
        </w:tc>
      </w:tr>
      <w:tr w14:paraId="5FAB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06" w:type="dxa"/>
            <w:tcBorders>
              <w:top w:val="single" w:color="auto" w:sz="4" w:space="0"/>
              <w:left w:val="single" w:color="auto" w:sz="4" w:space="0"/>
              <w:bottom w:val="single" w:color="auto" w:sz="4" w:space="0"/>
              <w:right w:val="single" w:color="auto" w:sz="4" w:space="0"/>
            </w:tcBorders>
            <w:vAlign w:val="center"/>
          </w:tcPr>
          <w:p w14:paraId="1EF33703">
            <w:pPr>
              <w:pStyle w:val="11"/>
              <w:snapToGrid w:val="0"/>
              <w:spacing w:line="400" w:lineRule="exact"/>
              <w:jc w:val="center"/>
              <w:rPr>
                <w:rFonts w:hint="eastAsia" w:hAnsi="宋体" w:cs="宋体"/>
                <w:bCs/>
              </w:rPr>
            </w:pPr>
            <w:r>
              <w:rPr>
                <w:rFonts w:hint="eastAsia" w:hAnsi="宋体" w:cs="宋体"/>
                <w:bCs/>
              </w:rPr>
              <w:t>政策性加分条件（如有）</w:t>
            </w:r>
          </w:p>
        </w:tc>
        <w:tc>
          <w:tcPr>
            <w:tcW w:w="7890" w:type="dxa"/>
            <w:tcBorders>
              <w:top w:val="single" w:color="auto" w:sz="4" w:space="0"/>
              <w:left w:val="single" w:color="auto" w:sz="4" w:space="0"/>
              <w:bottom w:val="single" w:color="auto" w:sz="4" w:space="0"/>
              <w:right w:val="single" w:color="auto" w:sz="4" w:space="0"/>
            </w:tcBorders>
            <w:vAlign w:val="center"/>
          </w:tcPr>
          <w:p w14:paraId="73921E7E">
            <w:pPr>
              <w:pStyle w:val="11"/>
              <w:numPr>
                <w:ilvl w:val="0"/>
                <w:numId w:val="2"/>
              </w:numPr>
              <w:snapToGrid w:val="0"/>
              <w:spacing w:line="400" w:lineRule="exact"/>
              <w:rPr>
                <w:rFonts w:hint="eastAsia" w:hAnsi="宋体" w:cs="宋体"/>
              </w:rPr>
            </w:pPr>
            <w:r>
              <w:rPr>
                <w:rFonts w:hint="eastAsia" w:hAnsi="宋体" w:cs="宋体"/>
              </w:rPr>
              <w:t>根据《政府采购促进中小企业发展管理办法》（财库〔2020〕46 号）及《关于对政府采购领域扶持中小企业的政策进行调整的通知》（柳财采〔2022〕18 号）的规定，投标人在其投标文件中提供《中小企业声明函》；</w:t>
            </w:r>
          </w:p>
          <w:p w14:paraId="47A8AEA6">
            <w:pPr>
              <w:spacing w:line="400" w:lineRule="exact"/>
              <w:rPr>
                <w:rFonts w:hint="eastAsia" w:ascii="宋体" w:hAnsi="宋体" w:cs="宋体"/>
                <w:b/>
                <w:bCs/>
                <w:szCs w:val="21"/>
              </w:rPr>
            </w:pPr>
            <w:r>
              <w:rPr>
                <w:rFonts w:hint="eastAsia" w:ascii="宋体" w:hAnsi="宋体" w:cs="宋体"/>
                <w:b/>
                <w:bCs/>
                <w:szCs w:val="21"/>
              </w:rPr>
              <w:t>注：（1）本项目标的对应的中小企业划分标准所属行业：</w:t>
            </w:r>
            <w:r>
              <w:rPr>
                <w:rFonts w:hint="eastAsia" w:ascii="宋体" w:hAnsi="宋体"/>
                <w:b/>
                <w:szCs w:val="21"/>
                <w:u w:val="single"/>
              </w:rPr>
              <w:t>“软件和信息技术服务业”。</w:t>
            </w:r>
          </w:p>
          <w:p w14:paraId="2D40FF48">
            <w:pPr>
              <w:spacing w:line="400" w:lineRule="exact"/>
              <w:rPr>
                <w:rFonts w:hint="eastAsia" w:ascii="宋体" w:hAnsi="宋体" w:cs="宋体"/>
                <w:b/>
                <w:bCs/>
                <w:szCs w:val="21"/>
              </w:rPr>
            </w:pPr>
            <w:r>
              <w:rPr>
                <w:rFonts w:hint="eastAsia" w:ascii="宋体" w:hAnsi="宋体" w:cs="宋体"/>
                <w:b/>
                <w:bCs/>
                <w:szCs w:val="21"/>
              </w:rPr>
              <w:t>（2）中小企业划分有关标准根据工信部等部委发布的《关于印发中小企业划型标准规定的通知》（工信部联企业〔2011〕300号）确定；</w:t>
            </w:r>
          </w:p>
          <w:p w14:paraId="318E32FE">
            <w:pPr>
              <w:spacing w:line="400" w:lineRule="exact"/>
              <w:rPr>
                <w:rFonts w:hint="eastAsia" w:ascii="宋体" w:hAnsi="宋体" w:cs="宋体"/>
                <w:b/>
                <w:bCs/>
                <w:szCs w:val="21"/>
              </w:rPr>
            </w:pPr>
            <w:r>
              <w:rPr>
                <w:rFonts w:hint="eastAsia" w:ascii="宋体" w:hAnsi="宋体" w:cs="宋体"/>
                <w:b/>
                <w:bCs/>
                <w:szCs w:val="21"/>
              </w:rPr>
              <w:t>（3）为方便投标人识别企业规模类型，投标人可使用工业和信息化部组织开发的中小企业规模类型自测小程序生成企业规模类型测试结果。</w:t>
            </w:r>
          </w:p>
          <w:p w14:paraId="3746F8D7">
            <w:pPr>
              <w:spacing w:line="380" w:lineRule="exact"/>
              <w:rPr>
                <w:rFonts w:hint="eastAsia" w:ascii="宋体" w:hAnsi="宋体" w:cs="宋体"/>
                <w:b/>
                <w:bCs/>
                <w:szCs w:val="21"/>
              </w:rPr>
            </w:pPr>
            <w:r>
              <w:rPr>
                <w:rFonts w:hint="eastAsia" w:ascii="宋体" w:hAnsi="宋体" w:cs="宋体"/>
                <w:b/>
                <w:bCs/>
                <w:szCs w:val="21"/>
              </w:rPr>
              <w:t>自测小程序链接：https://sme.miit.gov.cn/baosong/appweb/orgScale.html</w:t>
            </w:r>
          </w:p>
          <w:p w14:paraId="38C51D48">
            <w:pPr>
              <w:spacing w:line="380" w:lineRule="exact"/>
              <w:rPr>
                <w:rFonts w:hint="eastAsia" w:ascii="宋体" w:hAnsi="宋体" w:cs="宋体"/>
                <w:kern w:val="0"/>
                <w:szCs w:val="21"/>
              </w:rPr>
            </w:pPr>
            <w:r>
              <w:rPr>
                <w:rFonts w:hint="eastAsia" w:ascii="宋体" w:hAnsi="宋体" w:cs="宋体"/>
                <w:kern w:val="0"/>
                <w:szCs w:val="21"/>
              </w:rPr>
              <w:t>2.</w:t>
            </w:r>
            <w:r>
              <w:rPr>
                <w:rFonts w:hint="eastAsia" w:ascii="宋体" w:hAnsi="宋体" w:cs="宋体"/>
                <w:szCs w:val="21"/>
              </w:rPr>
              <w:t>《财政部、司法部关于政府采购支持监狱企业发展有关问题的通知》（财库〔2014〕68号）</w:t>
            </w:r>
            <w:r>
              <w:rPr>
                <w:rFonts w:hint="eastAsia" w:ascii="宋体" w:hAnsi="宋体" w:cs="宋体"/>
                <w:kern w:val="0"/>
                <w:szCs w:val="21"/>
              </w:rPr>
              <w:t>；</w:t>
            </w:r>
          </w:p>
          <w:p w14:paraId="7D013070">
            <w:pPr>
              <w:spacing w:line="380" w:lineRule="exact"/>
              <w:rPr>
                <w:rFonts w:hint="eastAsia" w:ascii="宋体" w:hAnsi="宋体" w:cs="宋体"/>
                <w:kern w:val="0"/>
                <w:szCs w:val="21"/>
              </w:rPr>
            </w:pPr>
            <w:r>
              <w:rPr>
                <w:rFonts w:hint="eastAsia" w:ascii="宋体" w:hAnsi="宋体" w:cs="宋体"/>
                <w:kern w:val="0"/>
                <w:szCs w:val="21"/>
              </w:rPr>
              <w:t>3.《财政部 民政部 中国残疾人联合会关于促进残疾人就业政府采购政策的通知》（财库〔2017〕141号）；</w:t>
            </w:r>
          </w:p>
          <w:p w14:paraId="31AC3E5C">
            <w:pPr>
              <w:spacing w:line="380" w:lineRule="exact"/>
              <w:rPr>
                <w:rFonts w:hint="eastAsia" w:ascii="宋体" w:hAnsi="宋体" w:cs="宋体"/>
                <w:szCs w:val="21"/>
                <w:lang w:val="zh-CN"/>
              </w:rPr>
            </w:pPr>
            <w:r>
              <w:rPr>
                <w:rFonts w:hint="eastAsia" w:ascii="宋体" w:hAnsi="宋体" w:cs="宋体"/>
                <w:szCs w:val="21"/>
              </w:rPr>
              <w:t>4.《财政部 发展改革委 生态环境部 市场监管总局</w:t>
            </w:r>
            <w:r>
              <w:rPr>
                <w:rFonts w:hint="eastAsia" w:ascii="宋体" w:hAnsi="宋体" w:cs="宋体"/>
                <w:szCs w:val="21"/>
                <w:lang w:val="zh-CN"/>
              </w:rPr>
              <w:t>关于调整优化节能产品、环境标志产品政府采购执行机制的通知》（财库〔2019〕9号）：对政府采购节能产品、环境标志产品实施品目清单管理，依据品目清单和认证证书实施政府优先采购和强制采购；</w:t>
            </w:r>
          </w:p>
          <w:p w14:paraId="37E12B0F">
            <w:pPr>
              <w:spacing w:line="380" w:lineRule="exact"/>
              <w:rPr>
                <w:rFonts w:hint="eastAsia" w:ascii="宋体" w:hAnsi="宋体" w:cs="宋体"/>
                <w:szCs w:val="21"/>
              </w:rPr>
            </w:pPr>
            <w:r>
              <w:rPr>
                <w:rFonts w:hint="eastAsia" w:ascii="宋体" w:hAnsi="宋体" w:cs="宋体"/>
                <w:szCs w:val="21"/>
              </w:rPr>
              <w:t>5.财政部 生态环境部《关于印发环境标志产品政府采购品目清单的通知》（财库〔2019〕18号）；</w:t>
            </w:r>
          </w:p>
          <w:p w14:paraId="543DBDE8">
            <w:pPr>
              <w:spacing w:line="380" w:lineRule="exact"/>
              <w:rPr>
                <w:rFonts w:hint="eastAsia" w:ascii="宋体" w:hAnsi="宋体" w:cs="宋体"/>
                <w:szCs w:val="21"/>
              </w:rPr>
            </w:pPr>
            <w:r>
              <w:rPr>
                <w:rFonts w:hint="eastAsia" w:ascii="宋体" w:hAnsi="宋体" w:cs="宋体"/>
                <w:szCs w:val="21"/>
              </w:rPr>
              <w:t>6.财政部 发展改革委《关于印发节能产品政府采购品目清单的通知》（财库〔2019〕19号）。</w:t>
            </w:r>
          </w:p>
        </w:tc>
      </w:tr>
      <w:tr w14:paraId="511C7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1806" w:type="dxa"/>
            <w:tcBorders>
              <w:top w:val="single" w:color="auto" w:sz="4" w:space="0"/>
              <w:left w:val="single" w:color="auto" w:sz="4" w:space="0"/>
              <w:bottom w:val="single" w:color="auto" w:sz="4" w:space="0"/>
              <w:right w:val="single" w:color="auto" w:sz="4" w:space="0"/>
            </w:tcBorders>
            <w:vAlign w:val="center"/>
          </w:tcPr>
          <w:p w14:paraId="4B2FE6C6">
            <w:pPr>
              <w:pStyle w:val="11"/>
              <w:snapToGrid w:val="0"/>
              <w:spacing w:line="400" w:lineRule="exact"/>
              <w:jc w:val="center"/>
              <w:rPr>
                <w:rFonts w:hint="eastAsia" w:hAnsi="宋体" w:cs="宋体"/>
                <w:bCs/>
              </w:rPr>
            </w:pPr>
            <w:r>
              <w:rPr>
                <w:rFonts w:hint="eastAsia" w:hAnsi="宋体" w:cs="宋体"/>
                <w:bCs/>
              </w:rPr>
              <w:t>质量管理、企业信用要求（如有）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07B52442">
            <w:pPr>
              <w:spacing w:line="400" w:lineRule="exact"/>
              <w:rPr>
                <w:rFonts w:hint="eastAsia" w:ascii="宋体" w:hAnsi="宋体" w:cs="宋体"/>
                <w:szCs w:val="21"/>
              </w:rPr>
            </w:pPr>
            <w:r>
              <w:rPr>
                <w:rFonts w:hint="eastAsia" w:ascii="宋体" w:hAnsi="宋体" w:cs="宋体"/>
                <w:szCs w:val="21"/>
              </w:rPr>
              <w:t xml:space="preserve">1.投标人或其投标产品生产厂家具备有效的质量管理体系认证证书； </w:t>
            </w:r>
          </w:p>
          <w:p w14:paraId="4B3CA1C9">
            <w:pPr>
              <w:spacing w:line="400" w:lineRule="exact"/>
              <w:rPr>
                <w:rFonts w:hint="eastAsia" w:ascii="宋体" w:hAnsi="宋体" w:cs="宋体"/>
                <w:szCs w:val="21"/>
              </w:rPr>
            </w:pPr>
            <w:r>
              <w:rPr>
                <w:rFonts w:hint="eastAsia" w:ascii="宋体" w:hAnsi="宋体" w:cs="宋体"/>
                <w:szCs w:val="21"/>
              </w:rPr>
              <w:t>2.投标人</w:t>
            </w:r>
            <w:r>
              <w:rPr>
                <w:rFonts w:hint="eastAsia"/>
              </w:rPr>
              <w:t>或其投标产品生产厂家</w:t>
            </w:r>
            <w:r>
              <w:rPr>
                <w:rFonts w:hint="eastAsia" w:ascii="宋体" w:hAnsi="宋体" w:cs="宋体"/>
                <w:szCs w:val="21"/>
              </w:rPr>
              <w:t xml:space="preserve">具备有效的环境管理体系认证证书； </w:t>
            </w:r>
          </w:p>
          <w:p w14:paraId="7017837E">
            <w:pPr>
              <w:spacing w:line="400" w:lineRule="exact"/>
              <w:rPr>
                <w:rFonts w:hint="eastAsia" w:ascii="宋体" w:hAnsi="宋体" w:cs="宋体"/>
                <w:bCs/>
                <w:kern w:val="0"/>
                <w:szCs w:val="21"/>
              </w:rPr>
            </w:pPr>
            <w:r>
              <w:rPr>
                <w:rFonts w:hint="eastAsia" w:ascii="宋体" w:hAnsi="宋体" w:cs="宋体"/>
                <w:szCs w:val="21"/>
              </w:rPr>
              <w:t>3.投标人</w:t>
            </w:r>
            <w:r>
              <w:rPr>
                <w:rFonts w:hint="eastAsia"/>
              </w:rPr>
              <w:t>或其投标产品生产厂家</w:t>
            </w:r>
            <w:r>
              <w:rPr>
                <w:rFonts w:hint="eastAsia" w:ascii="宋体" w:hAnsi="宋体" w:cs="宋体"/>
                <w:szCs w:val="21"/>
              </w:rPr>
              <w:t xml:space="preserve">具备有效的职业健康管理体系认证。  </w:t>
            </w:r>
          </w:p>
        </w:tc>
      </w:tr>
      <w:tr w14:paraId="13C0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06" w:type="dxa"/>
            <w:tcBorders>
              <w:top w:val="single" w:color="auto" w:sz="4" w:space="0"/>
              <w:left w:val="single" w:color="auto" w:sz="4" w:space="0"/>
              <w:bottom w:val="single" w:color="auto" w:sz="4" w:space="0"/>
              <w:right w:val="single" w:color="auto" w:sz="4" w:space="0"/>
            </w:tcBorders>
            <w:vAlign w:val="center"/>
          </w:tcPr>
          <w:p w14:paraId="4B76CAB5">
            <w:pPr>
              <w:pStyle w:val="11"/>
              <w:snapToGrid w:val="0"/>
              <w:spacing w:line="400" w:lineRule="exact"/>
              <w:jc w:val="center"/>
              <w:rPr>
                <w:rFonts w:hint="eastAsia" w:hAnsi="宋体" w:cs="宋体"/>
                <w:bCs/>
              </w:rPr>
            </w:pPr>
            <w:r>
              <w:rPr>
                <w:rFonts w:hint="eastAsia" w:hAnsi="宋体" w:cs="宋体"/>
                <w:bCs/>
              </w:rPr>
              <w:t>能力或业绩要求（如有）</w:t>
            </w:r>
          </w:p>
        </w:tc>
        <w:tc>
          <w:tcPr>
            <w:tcW w:w="7890" w:type="dxa"/>
            <w:tcBorders>
              <w:top w:val="single" w:color="auto" w:sz="4" w:space="0"/>
              <w:left w:val="single" w:color="auto" w:sz="4" w:space="0"/>
              <w:bottom w:val="single" w:color="auto" w:sz="4" w:space="0"/>
              <w:right w:val="single" w:color="auto" w:sz="4" w:space="0"/>
            </w:tcBorders>
            <w:vAlign w:val="center"/>
          </w:tcPr>
          <w:p w14:paraId="274B6DCD">
            <w:pPr>
              <w:pStyle w:val="11"/>
              <w:snapToGrid w:val="0"/>
              <w:spacing w:line="400" w:lineRule="exact"/>
              <w:rPr>
                <w:rFonts w:hint="eastAsia" w:hAnsi="宋体" w:cs="宋体"/>
                <w:bCs/>
              </w:rPr>
            </w:pPr>
            <w:r>
              <w:rPr>
                <w:rFonts w:hint="eastAsia" w:ascii="Arial" w:hAnsi="Arial" w:cs="Arial"/>
              </w:rPr>
              <w:t>投标人2021</w:t>
            </w:r>
            <w:r>
              <w:rPr>
                <w:rFonts w:ascii="Arial" w:hAnsi="Arial" w:cs="Arial"/>
              </w:rPr>
              <w:t>年</w:t>
            </w:r>
            <w:r>
              <w:rPr>
                <w:rFonts w:hint="eastAsia" w:ascii="Arial" w:hAnsi="Arial" w:cs="Arial"/>
              </w:rPr>
              <w:t>6</w:t>
            </w:r>
            <w:r>
              <w:rPr>
                <w:rFonts w:ascii="Arial" w:hAnsi="Arial" w:cs="Arial"/>
              </w:rPr>
              <w:t>月1日以来完成的类似项目业绩。</w:t>
            </w:r>
          </w:p>
        </w:tc>
      </w:tr>
    </w:tbl>
    <w:p w14:paraId="2B0F2B4A">
      <w:pPr>
        <w:rPr>
          <w:b/>
          <w:bCs/>
        </w:rPr>
        <w:sectPr>
          <w:pgSz w:w="11906" w:h="16838"/>
          <w:pgMar w:top="1440" w:right="1440" w:bottom="1440" w:left="1440" w:header="851" w:footer="992" w:gutter="0"/>
          <w:cols w:space="720" w:num="1"/>
          <w:docGrid w:linePitch="312" w:charSpace="0"/>
        </w:sectPr>
      </w:pPr>
    </w:p>
    <w:p w14:paraId="39ECE6D8">
      <w:pPr>
        <w:spacing w:line="400" w:lineRule="exact"/>
        <w:rPr>
          <w:rFonts w:hint="eastAsia" w:ascii="宋体" w:hAnsi="宋体" w:cs="宋体"/>
          <w:b/>
          <w:sz w:val="28"/>
          <w:szCs w:val="28"/>
        </w:rPr>
      </w:pPr>
      <w:r>
        <w:rPr>
          <w:rFonts w:hint="eastAsia" w:ascii="宋体" w:hAnsi="宋体"/>
          <w:b/>
          <w:sz w:val="24"/>
          <w:szCs w:val="21"/>
        </w:rPr>
        <w:t>附件1：</w:t>
      </w:r>
    </w:p>
    <w:p w14:paraId="5060AC75">
      <w:pPr>
        <w:spacing w:line="528" w:lineRule="exact"/>
        <w:jc w:val="center"/>
        <w:rPr>
          <w:rFonts w:hint="eastAsia" w:ascii="宋体" w:hAnsi="宋体" w:cs="宋体"/>
          <w:b/>
          <w:sz w:val="28"/>
          <w:szCs w:val="28"/>
        </w:rPr>
      </w:pPr>
      <w:r>
        <w:rPr>
          <w:rFonts w:hint="eastAsia" w:ascii="宋体" w:hAnsi="宋体" w:cs="宋体"/>
          <w:b/>
          <w:sz w:val="28"/>
          <w:szCs w:val="28"/>
        </w:rPr>
        <w:t>节能产品政府采购品目清单</w:t>
      </w:r>
    </w:p>
    <w:tbl>
      <w:tblPr>
        <w:tblStyle w:val="17"/>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3"/>
        <w:gridCol w:w="1164"/>
        <w:gridCol w:w="1805"/>
        <w:gridCol w:w="1618"/>
        <w:gridCol w:w="4156"/>
      </w:tblGrid>
      <w:tr w14:paraId="19BDB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74" w:type="dxa"/>
            <w:vAlign w:val="center"/>
          </w:tcPr>
          <w:p w14:paraId="27C4E2FE">
            <w:pPr>
              <w:spacing w:line="240" w:lineRule="exact"/>
              <w:jc w:val="center"/>
              <w:rPr>
                <w:rFonts w:hint="eastAsia" w:ascii="宋体" w:hAnsi="宋体" w:cs="宋体"/>
                <w:b/>
                <w:kern w:val="0"/>
                <w:sz w:val="18"/>
                <w:szCs w:val="18"/>
                <w:lang w:eastAsia="en-US"/>
              </w:rPr>
            </w:pPr>
            <w:r>
              <w:rPr>
                <w:rFonts w:hint="eastAsia" w:ascii="宋体" w:hAnsi="宋体" w:cs="宋体"/>
                <w:b/>
                <w:kern w:val="0"/>
                <w:sz w:val="18"/>
                <w:szCs w:val="18"/>
                <w:lang w:eastAsia="en-US"/>
              </w:rPr>
              <w:t>品目序号</w:t>
            </w:r>
          </w:p>
        </w:tc>
        <w:tc>
          <w:tcPr>
            <w:tcW w:w="4577" w:type="dxa"/>
            <w:gridSpan w:val="3"/>
            <w:vAlign w:val="center"/>
          </w:tcPr>
          <w:p w14:paraId="4744DF9F">
            <w:pPr>
              <w:spacing w:line="240" w:lineRule="exact"/>
              <w:jc w:val="center"/>
              <w:rPr>
                <w:rFonts w:hint="eastAsia" w:ascii="宋体" w:hAnsi="宋体" w:cs="宋体"/>
                <w:b/>
                <w:kern w:val="0"/>
                <w:sz w:val="18"/>
                <w:szCs w:val="18"/>
                <w:lang w:eastAsia="en-US"/>
              </w:rPr>
            </w:pPr>
            <w:r>
              <w:rPr>
                <w:rFonts w:hint="eastAsia" w:ascii="宋体" w:hAnsi="宋体" w:cs="宋体"/>
                <w:b/>
                <w:kern w:val="0"/>
                <w:sz w:val="18"/>
                <w:szCs w:val="18"/>
                <w:lang w:eastAsia="en-US"/>
              </w:rPr>
              <w:t>名称</w:t>
            </w:r>
          </w:p>
        </w:tc>
        <w:tc>
          <w:tcPr>
            <w:tcW w:w="4165" w:type="dxa"/>
            <w:vAlign w:val="center"/>
          </w:tcPr>
          <w:p w14:paraId="3843BD31">
            <w:pPr>
              <w:spacing w:line="240" w:lineRule="exact"/>
              <w:jc w:val="center"/>
              <w:rPr>
                <w:rFonts w:hint="eastAsia" w:ascii="宋体" w:hAnsi="宋体" w:cs="宋体"/>
                <w:b/>
                <w:kern w:val="0"/>
                <w:sz w:val="18"/>
                <w:szCs w:val="18"/>
                <w:lang w:eastAsia="en-US"/>
              </w:rPr>
            </w:pPr>
            <w:r>
              <w:rPr>
                <w:rFonts w:hint="eastAsia" w:ascii="宋体" w:hAnsi="宋体" w:cs="宋体"/>
                <w:b/>
                <w:kern w:val="0"/>
                <w:sz w:val="18"/>
                <w:szCs w:val="18"/>
                <w:lang w:eastAsia="en-US"/>
              </w:rPr>
              <w:t>依据的标准</w:t>
            </w:r>
          </w:p>
        </w:tc>
      </w:tr>
      <w:tr w14:paraId="144C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jc w:val="center"/>
        </w:trPr>
        <w:tc>
          <w:tcPr>
            <w:tcW w:w="574" w:type="dxa"/>
            <w:vMerge w:val="restart"/>
            <w:vAlign w:val="center"/>
          </w:tcPr>
          <w:p w14:paraId="1F77656C">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w:t>
            </w:r>
          </w:p>
        </w:tc>
        <w:tc>
          <w:tcPr>
            <w:tcW w:w="1166" w:type="dxa"/>
            <w:vMerge w:val="restart"/>
            <w:vAlign w:val="center"/>
          </w:tcPr>
          <w:p w14:paraId="427AA0AC">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A020101计算机设备</w:t>
            </w:r>
          </w:p>
        </w:tc>
        <w:tc>
          <w:tcPr>
            <w:tcW w:w="1800" w:type="dxa"/>
            <w:vAlign w:val="center"/>
          </w:tcPr>
          <w:p w14:paraId="7572C86A">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★A02010104台式计算机</w:t>
            </w:r>
          </w:p>
        </w:tc>
        <w:tc>
          <w:tcPr>
            <w:tcW w:w="1611" w:type="dxa"/>
            <w:vAlign w:val="center"/>
          </w:tcPr>
          <w:p w14:paraId="4F7F73DB">
            <w:pPr>
              <w:jc w:val="left"/>
              <w:rPr>
                <w:rFonts w:hint="eastAsia" w:ascii="宋体" w:hAnsi="宋体" w:cs="宋体"/>
                <w:kern w:val="0"/>
                <w:sz w:val="18"/>
                <w:szCs w:val="18"/>
                <w:lang w:eastAsia="en-US"/>
              </w:rPr>
            </w:pPr>
          </w:p>
        </w:tc>
        <w:tc>
          <w:tcPr>
            <w:tcW w:w="4165" w:type="dxa"/>
            <w:vAlign w:val="center"/>
          </w:tcPr>
          <w:p w14:paraId="678C8162">
            <w:pPr>
              <w:jc w:val="left"/>
              <w:rPr>
                <w:rFonts w:hint="eastAsia" w:ascii="宋体" w:hAnsi="宋体" w:cs="宋体"/>
                <w:kern w:val="0"/>
                <w:sz w:val="18"/>
                <w:szCs w:val="18"/>
              </w:rPr>
            </w:pPr>
            <w:r>
              <w:rPr>
                <w:rFonts w:hint="eastAsia" w:ascii="宋体" w:hAnsi="宋体" w:cs="宋体"/>
                <w:kern w:val="0"/>
                <w:sz w:val="18"/>
                <w:szCs w:val="18"/>
              </w:rPr>
              <w:t>《微型计算机能效限定值及能效等级》（GB28380）</w:t>
            </w:r>
          </w:p>
        </w:tc>
      </w:tr>
      <w:tr w14:paraId="5D022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574" w:type="dxa"/>
            <w:vMerge w:val="continue"/>
            <w:vAlign w:val="center"/>
          </w:tcPr>
          <w:p w14:paraId="52AC6717">
            <w:pPr>
              <w:jc w:val="center"/>
              <w:rPr>
                <w:rFonts w:hint="eastAsia" w:ascii="宋体" w:hAnsi="宋体" w:cs="宋体"/>
                <w:kern w:val="0"/>
                <w:sz w:val="18"/>
                <w:szCs w:val="18"/>
              </w:rPr>
            </w:pPr>
          </w:p>
        </w:tc>
        <w:tc>
          <w:tcPr>
            <w:tcW w:w="1166" w:type="dxa"/>
            <w:vMerge w:val="continue"/>
            <w:vAlign w:val="center"/>
          </w:tcPr>
          <w:p w14:paraId="3AFBD025">
            <w:pPr>
              <w:jc w:val="left"/>
              <w:rPr>
                <w:rFonts w:hint="eastAsia" w:ascii="宋体" w:hAnsi="宋体" w:cs="宋体"/>
                <w:kern w:val="0"/>
                <w:sz w:val="18"/>
                <w:szCs w:val="18"/>
              </w:rPr>
            </w:pPr>
          </w:p>
        </w:tc>
        <w:tc>
          <w:tcPr>
            <w:tcW w:w="1800" w:type="dxa"/>
            <w:vAlign w:val="center"/>
          </w:tcPr>
          <w:p w14:paraId="696CFFC5">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★A02010105便携式计算机</w:t>
            </w:r>
          </w:p>
        </w:tc>
        <w:tc>
          <w:tcPr>
            <w:tcW w:w="1611" w:type="dxa"/>
            <w:vAlign w:val="center"/>
          </w:tcPr>
          <w:p w14:paraId="159D0ABA">
            <w:pPr>
              <w:rPr>
                <w:rFonts w:hint="eastAsia" w:ascii="宋体" w:hAnsi="宋体" w:cs="宋体"/>
                <w:kern w:val="0"/>
                <w:sz w:val="18"/>
                <w:szCs w:val="18"/>
                <w:lang w:eastAsia="en-US"/>
              </w:rPr>
            </w:pPr>
          </w:p>
        </w:tc>
        <w:tc>
          <w:tcPr>
            <w:tcW w:w="4165" w:type="dxa"/>
            <w:vAlign w:val="center"/>
          </w:tcPr>
          <w:p w14:paraId="44B13319">
            <w:pPr>
              <w:jc w:val="left"/>
              <w:rPr>
                <w:rFonts w:hint="eastAsia" w:ascii="宋体" w:hAnsi="宋体" w:cs="宋体"/>
                <w:kern w:val="0"/>
                <w:sz w:val="18"/>
                <w:szCs w:val="18"/>
              </w:rPr>
            </w:pPr>
            <w:r>
              <w:rPr>
                <w:rFonts w:hint="eastAsia" w:ascii="宋体" w:hAnsi="宋体" w:cs="宋体"/>
                <w:kern w:val="0"/>
                <w:sz w:val="18"/>
                <w:szCs w:val="18"/>
              </w:rPr>
              <w:t>《微型计算机能效限定值及能效等级》（GB28380）</w:t>
            </w:r>
          </w:p>
        </w:tc>
      </w:tr>
      <w:tr w14:paraId="7E40A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574" w:type="dxa"/>
            <w:vMerge w:val="continue"/>
            <w:vAlign w:val="center"/>
          </w:tcPr>
          <w:p w14:paraId="35EE4E24">
            <w:pPr>
              <w:jc w:val="center"/>
              <w:rPr>
                <w:rFonts w:hint="eastAsia" w:ascii="宋体" w:hAnsi="宋体" w:cs="宋体"/>
                <w:kern w:val="0"/>
                <w:sz w:val="18"/>
                <w:szCs w:val="18"/>
              </w:rPr>
            </w:pPr>
          </w:p>
        </w:tc>
        <w:tc>
          <w:tcPr>
            <w:tcW w:w="1166" w:type="dxa"/>
            <w:vMerge w:val="continue"/>
            <w:vAlign w:val="center"/>
          </w:tcPr>
          <w:p w14:paraId="12387F91">
            <w:pPr>
              <w:jc w:val="left"/>
              <w:rPr>
                <w:rFonts w:hint="eastAsia" w:ascii="宋体" w:hAnsi="宋体" w:cs="宋体"/>
                <w:kern w:val="0"/>
                <w:sz w:val="18"/>
                <w:szCs w:val="18"/>
              </w:rPr>
            </w:pPr>
          </w:p>
        </w:tc>
        <w:tc>
          <w:tcPr>
            <w:tcW w:w="1800" w:type="dxa"/>
            <w:vAlign w:val="center"/>
          </w:tcPr>
          <w:p w14:paraId="1C8291E7">
            <w:pPr>
              <w:jc w:val="left"/>
              <w:rPr>
                <w:rFonts w:hint="eastAsia" w:ascii="宋体" w:hAnsi="宋体" w:cs="宋体"/>
                <w:kern w:val="0"/>
                <w:sz w:val="18"/>
                <w:szCs w:val="18"/>
              </w:rPr>
            </w:pPr>
            <w:r>
              <w:rPr>
                <w:rFonts w:hint="eastAsia" w:ascii="宋体" w:hAnsi="宋体" w:cs="宋体"/>
                <w:kern w:val="0"/>
                <w:sz w:val="18"/>
                <w:szCs w:val="18"/>
              </w:rPr>
              <w:t>★A02010107平板式微型计算机</w:t>
            </w:r>
          </w:p>
        </w:tc>
        <w:tc>
          <w:tcPr>
            <w:tcW w:w="1611" w:type="dxa"/>
            <w:vAlign w:val="center"/>
          </w:tcPr>
          <w:p w14:paraId="5824158C">
            <w:pPr>
              <w:rPr>
                <w:rFonts w:hint="eastAsia" w:ascii="宋体" w:hAnsi="宋体" w:cs="宋体"/>
                <w:kern w:val="0"/>
                <w:sz w:val="18"/>
                <w:szCs w:val="18"/>
              </w:rPr>
            </w:pPr>
          </w:p>
        </w:tc>
        <w:tc>
          <w:tcPr>
            <w:tcW w:w="4165" w:type="dxa"/>
            <w:vAlign w:val="center"/>
          </w:tcPr>
          <w:p w14:paraId="7B5B7266">
            <w:pPr>
              <w:jc w:val="left"/>
              <w:rPr>
                <w:rFonts w:hint="eastAsia" w:ascii="宋体" w:hAnsi="宋体" w:cs="宋体"/>
                <w:kern w:val="0"/>
                <w:sz w:val="18"/>
                <w:szCs w:val="18"/>
              </w:rPr>
            </w:pPr>
            <w:r>
              <w:rPr>
                <w:rFonts w:hint="eastAsia" w:ascii="宋体" w:hAnsi="宋体" w:cs="宋体"/>
                <w:kern w:val="0"/>
                <w:sz w:val="18"/>
                <w:szCs w:val="18"/>
              </w:rPr>
              <w:t>《微型计算机能效限定值及能效等级》（GB28380）</w:t>
            </w:r>
          </w:p>
        </w:tc>
      </w:tr>
      <w:tr w14:paraId="66FE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574" w:type="dxa"/>
            <w:vMerge w:val="restart"/>
            <w:vAlign w:val="center"/>
          </w:tcPr>
          <w:p w14:paraId="11FBEA61">
            <w:pPr>
              <w:jc w:val="center"/>
              <w:rPr>
                <w:rFonts w:hint="eastAsia" w:ascii="宋体" w:hAnsi="宋体" w:cs="宋体"/>
                <w:kern w:val="0"/>
                <w:sz w:val="18"/>
                <w:szCs w:val="18"/>
                <w:lang w:eastAsia="en-US"/>
              </w:rPr>
            </w:pPr>
            <w:r>
              <w:rPr>
                <w:rFonts w:hint="eastAsia" w:ascii="宋体" w:hAnsi="宋体" w:cs="宋体"/>
                <w:kern w:val="0"/>
                <w:sz w:val="18"/>
                <w:szCs w:val="18"/>
                <w:lang w:eastAsia="en-US"/>
              </w:rPr>
              <w:t>2</w:t>
            </w:r>
          </w:p>
        </w:tc>
        <w:tc>
          <w:tcPr>
            <w:tcW w:w="1166" w:type="dxa"/>
            <w:vMerge w:val="restart"/>
            <w:vAlign w:val="center"/>
          </w:tcPr>
          <w:p w14:paraId="085B56FF">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A020106输入输出设备</w:t>
            </w:r>
          </w:p>
        </w:tc>
        <w:tc>
          <w:tcPr>
            <w:tcW w:w="1800" w:type="dxa"/>
            <w:vMerge w:val="restart"/>
            <w:vAlign w:val="center"/>
          </w:tcPr>
          <w:p w14:paraId="33251A40">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A02010601打印设备</w:t>
            </w:r>
          </w:p>
        </w:tc>
        <w:tc>
          <w:tcPr>
            <w:tcW w:w="1611" w:type="dxa"/>
            <w:vAlign w:val="center"/>
          </w:tcPr>
          <w:p w14:paraId="316CEA22">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A0201060101喷墨打印机</w:t>
            </w:r>
          </w:p>
        </w:tc>
        <w:tc>
          <w:tcPr>
            <w:tcW w:w="4165" w:type="dxa"/>
            <w:vAlign w:val="center"/>
          </w:tcPr>
          <w:p w14:paraId="3A5EEEDF">
            <w:pPr>
              <w:jc w:val="left"/>
              <w:rPr>
                <w:rFonts w:hint="eastAsia" w:ascii="宋体" w:hAnsi="宋体" w:cs="宋体"/>
                <w:kern w:val="0"/>
                <w:sz w:val="18"/>
                <w:szCs w:val="18"/>
              </w:rPr>
            </w:pPr>
            <w:r>
              <w:rPr>
                <w:rFonts w:hint="eastAsia" w:ascii="宋体" w:hAnsi="宋体" w:cs="宋体"/>
                <w:kern w:val="0"/>
                <w:sz w:val="18"/>
                <w:szCs w:val="18"/>
              </w:rPr>
              <w:t>《复印机、打印机和传真机能效限定值及能效等级》（GB21521）</w:t>
            </w:r>
          </w:p>
        </w:tc>
      </w:tr>
      <w:tr w14:paraId="113C5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74" w:type="dxa"/>
            <w:vMerge w:val="continue"/>
            <w:vAlign w:val="center"/>
          </w:tcPr>
          <w:p w14:paraId="54B2161C">
            <w:pPr>
              <w:jc w:val="center"/>
              <w:rPr>
                <w:rFonts w:hint="eastAsia" w:ascii="宋体" w:hAnsi="宋体" w:cs="宋体"/>
                <w:kern w:val="0"/>
                <w:sz w:val="18"/>
                <w:szCs w:val="18"/>
              </w:rPr>
            </w:pPr>
          </w:p>
        </w:tc>
        <w:tc>
          <w:tcPr>
            <w:tcW w:w="1166" w:type="dxa"/>
            <w:vMerge w:val="continue"/>
            <w:vAlign w:val="center"/>
          </w:tcPr>
          <w:p w14:paraId="4F070A29">
            <w:pPr>
              <w:jc w:val="left"/>
              <w:rPr>
                <w:rFonts w:hint="eastAsia" w:ascii="宋体" w:hAnsi="宋体" w:cs="宋体"/>
                <w:kern w:val="0"/>
                <w:sz w:val="18"/>
                <w:szCs w:val="18"/>
              </w:rPr>
            </w:pPr>
          </w:p>
        </w:tc>
        <w:tc>
          <w:tcPr>
            <w:tcW w:w="1800" w:type="dxa"/>
            <w:vMerge w:val="continue"/>
            <w:vAlign w:val="center"/>
          </w:tcPr>
          <w:p w14:paraId="5C1DA680">
            <w:pPr>
              <w:jc w:val="left"/>
              <w:rPr>
                <w:rFonts w:hint="eastAsia" w:ascii="宋体" w:hAnsi="宋体" w:cs="宋体"/>
                <w:kern w:val="0"/>
                <w:sz w:val="18"/>
                <w:szCs w:val="18"/>
              </w:rPr>
            </w:pPr>
          </w:p>
        </w:tc>
        <w:tc>
          <w:tcPr>
            <w:tcW w:w="1611" w:type="dxa"/>
            <w:vAlign w:val="center"/>
          </w:tcPr>
          <w:p w14:paraId="78897402">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★A0201060102激光打印机</w:t>
            </w:r>
          </w:p>
        </w:tc>
        <w:tc>
          <w:tcPr>
            <w:tcW w:w="4165" w:type="dxa"/>
            <w:vAlign w:val="center"/>
          </w:tcPr>
          <w:p w14:paraId="4C346610">
            <w:pPr>
              <w:jc w:val="left"/>
              <w:rPr>
                <w:rFonts w:hint="eastAsia" w:ascii="宋体" w:hAnsi="宋体" w:cs="宋体"/>
                <w:kern w:val="0"/>
                <w:sz w:val="18"/>
                <w:szCs w:val="18"/>
              </w:rPr>
            </w:pPr>
            <w:r>
              <w:rPr>
                <w:rFonts w:hint="eastAsia" w:ascii="宋体" w:hAnsi="宋体" w:cs="宋体"/>
                <w:kern w:val="0"/>
                <w:sz w:val="18"/>
                <w:szCs w:val="18"/>
              </w:rPr>
              <w:t>《复印机、打印机和传真机能效限定值及能效等级》（GB21521）</w:t>
            </w:r>
          </w:p>
        </w:tc>
      </w:tr>
      <w:tr w14:paraId="505F7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74" w:type="dxa"/>
            <w:vMerge w:val="continue"/>
            <w:vAlign w:val="center"/>
          </w:tcPr>
          <w:p w14:paraId="5416B356">
            <w:pPr>
              <w:jc w:val="center"/>
              <w:rPr>
                <w:rFonts w:hint="eastAsia" w:ascii="宋体" w:hAnsi="宋体" w:cs="宋体"/>
                <w:kern w:val="0"/>
                <w:sz w:val="18"/>
                <w:szCs w:val="18"/>
              </w:rPr>
            </w:pPr>
          </w:p>
        </w:tc>
        <w:tc>
          <w:tcPr>
            <w:tcW w:w="1166" w:type="dxa"/>
            <w:vMerge w:val="continue"/>
            <w:vAlign w:val="center"/>
          </w:tcPr>
          <w:p w14:paraId="05EAC6A2">
            <w:pPr>
              <w:jc w:val="left"/>
              <w:rPr>
                <w:rFonts w:hint="eastAsia" w:ascii="宋体" w:hAnsi="宋体" w:cs="宋体"/>
                <w:kern w:val="0"/>
                <w:sz w:val="18"/>
                <w:szCs w:val="18"/>
              </w:rPr>
            </w:pPr>
          </w:p>
        </w:tc>
        <w:tc>
          <w:tcPr>
            <w:tcW w:w="1800" w:type="dxa"/>
            <w:vMerge w:val="continue"/>
            <w:vAlign w:val="center"/>
          </w:tcPr>
          <w:p w14:paraId="1AD2E6E8">
            <w:pPr>
              <w:jc w:val="left"/>
              <w:rPr>
                <w:rFonts w:hint="eastAsia" w:ascii="宋体" w:hAnsi="宋体" w:cs="宋体"/>
                <w:kern w:val="0"/>
                <w:sz w:val="18"/>
                <w:szCs w:val="18"/>
              </w:rPr>
            </w:pPr>
          </w:p>
        </w:tc>
        <w:tc>
          <w:tcPr>
            <w:tcW w:w="1611" w:type="dxa"/>
            <w:vAlign w:val="center"/>
          </w:tcPr>
          <w:p w14:paraId="27F112A5">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★A0201060104针式打印机</w:t>
            </w:r>
          </w:p>
        </w:tc>
        <w:tc>
          <w:tcPr>
            <w:tcW w:w="4165" w:type="dxa"/>
            <w:vAlign w:val="center"/>
          </w:tcPr>
          <w:p w14:paraId="66651EE7">
            <w:pPr>
              <w:jc w:val="left"/>
              <w:rPr>
                <w:rFonts w:hint="eastAsia" w:ascii="宋体" w:hAnsi="宋体" w:cs="宋体"/>
                <w:kern w:val="0"/>
                <w:sz w:val="18"/>
                <w:szCs w:val="18"/>
              </w:rPr>
            </w:pPr>
            <w:r>
              <w:rPr>
                <w:rFonts w:hint="eastAsia" w:ascii="宋体" w:hAnsi="宋体" w:cs="宋体"/>
                <w:kern w:val="0"/>
                <w:sz w:val="18"/>
                <w:szCs w:val="18"/>
              </w:rPr>
              <w:t>《复印机、打印机和传真机能效限定值及能效等级》（GB21521）</w:t>
            </w:r>
          </w:p>
        </w:tc>
      </w:tr>
      <w:tr w14:paraId="37EA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jc w:val="center"/>
        </w:trPr>
        <w:tc>
          <w:tcPr>
            <w:tcW w:w="574" w:type="dxa"/>
            <w:vMerge w:val="continue"/>
            <w:vAlign w:val="center"/>
          </w:tcPr>
          <w:p w14:paraId="788DCB43">
            <w:pPr>
              <w:jc w:val="center"/>
              <w:rPr>
                <w:rFonts w:hint="eastAsia" w:ascii="宋体" w:hAnsi="宋体" w:cs="宋体"/>
                <w:kern w:val="0"/>
                <w:sz w:val="18"/>
                <w:szCs w:val="18"/>
              </w:rPr>
            </w:pPr>
          </w:p>
        </w:tc>
        <w:tc>
          <w:tcPr>
            <w:tcW w:w="1166" w:type="dxa"/>
            <w:vMerge w:val="continue"/>
            <w:vAlign w:val="center"/>
          </w:tcPr>
          <w:p w14:paraId="72BBC38C">
            <w:pPr>
              <w:jc w:val="left"/>
              <w:rPr>
                <w:rFonts w:hint="eastAsia" w:ascii="宋体" w:hAnsi="宋体" w:cs="宋体"/>
                <w:kern w:val="0"/>
                <w:sz w:val="18"/>
                <w:szCs w:val="18"/>
              </w:rPr>
            </w:pPr>
          </w:p>
        </w:tc>
        <w:tc>
          <w:tcPr>
            <w:tcW w:w="1800" w:type="dxa"/>
            <w:vAlign w:val="center"/>
          </w:tcPr>
          <w:p w14:paraId="2849B597">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A02010604显示设备</w:t>
            </w:r>
          </w:p>
        </w:tc>
        <w:tc>
          <w:tcPr>
            <w:tcW w:w="1611" w:type="dxa"/>
            <w:vAlign w:val="center"/>
          </w:tcPr>
          <w:p w14:paraId="2EC832B4">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★A0201060401液晶显示器</w:t>
            </w:r>
          </w:p>
        </w:tc>
        <w:tc>
          <w:tcPr>
            <w:tcW w:w="4165" w:type="dxa"/>
            <w:vAlign w:val="center"/>
          </w:tcPr>
          <w:p w14:paraId="514DFCDB">
            <w:pPr>
              <w:jc w:val="left"/>
              <w:rPr>
                <w:rFonts w:hint="eastAsia" w:ascii="宋体" w:hAnsi="宋体" w:cs="宋体"/>
                <w:kern w:val="0"/>
                <w:sz w:val="18"/>
                <w:szCs w:val="18"/>
              </w:rPr>
            </w:pPr>
            <w:r>
              <w:rPr>
                <w:rFonts w:hint="eastAsia" w:ascii="宋体" w:hAnsi="宋体" w:cs="宋体"/>
                <w:kern w:val="0"/>
                <w:sz w:val="18"/>
                <w:szCs w:val="18"/>
              </w:rPr>
              <w:t>《计算机显示器能效限定值及能效等级》（GB21520）</w:t>
            </w:r>
          </w:p>
        </w:tc>
      </w:tr>
      <w:tr w14:paraId="2FAC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574" w:type="dxa"/>
            <w:vMerge w:val="continue"/>
            <w:vAlign w:val="center"/>
          </w:tcPr>
          <w:p w14:paraId="2EA9DDBF">
            <w:pPr>
              <w:jc w:val="center"/>
              <w:rPr>
                <w:rFonts w:hint="eastAsia" w:ascii="宋体" w:hAnsi="宋体" w:cs="宋体"/>
                <w:kern w:val="0"/>
                <w:sz w:val="18"/>
                <w:szCs w:val="18"/>
              </w:rPr>
            </w:pPr>
          </w:p>
        </w:tc>
        <w:tc>
          <w:tcPr>
            <w:tcW w:w="1166" w:type="dxa"/>
            <w:vMerge w:val="continue"/>
            <w:vAlign w:val="center"/>
          </w:tcPr>
          <w:p w14:paraId="45ACB4BD">
            <w:pPr>
              <w:jc w:val="left"/>
              <w:rPr>
                <w:rFonts w:hint="eastAsia" w:ascii="宋体" w:hAnsi="宋体" w:cs="宋体"/>
                <w:kern w:val="0"/>
                <w:sz w:val="18"/>
                <w:szCs w:val="18"/>
              </w:rPr>
            </w:pPr>
          </w:p>
        </w:tc>
        <w:tc>
          <w:tcPr>
            <w:tcW w:w="1800" w:type="dxa"/>
            <w:vAlign w:val="center"/>
          </w:tcPr>
          <w:p w14:paraId="0D9E9406">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A02010609图形图像输入设备</w:t>
            </w:r>
          </w:p>
        </w:tc>
        <w:tc>
          <w:tcPr>
            <w:tcW w:w="1611" w:type="dxa"/>
            <w:vAlign w:val="center"/>
          </w:tcPr>
          <w:p w14:paraId="17A16A19">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A0201060901扫描仪</w:t>
            </w:r>
          </w:p>
        </w:tc>
        <w:tc>
          <w:tcPr>
            <w:tcW w:w="4165" w:type="dxa"/>
            <w:vAlign w:val="center"/>
          </w:tcPr>
          <w:p w14:paraId="266FF23D">
            <w:pPr>
              <w:jc w:val="left"/>
              <w:rPr>
                <w:rFonts w:hint="eastAsia" w:ascii="宋体" w:hAnsi="宋体" w:cs="宋体"/>
                <w:kern w:val="0"/>
                <w:sz w:val="18"/>
                <w:szCs w:val="18"/>
              </w:rPr>
            </w:pPr>
            <w:r>
              <w:rPr>
                <w:rFonts w:hint="eastAsia" w:ascii="宋体" w:hAnsi="宋体" w:cs="宋体"/>
                <w:kern w:val="0"/>
                <w:sz w:val="18"/>
                <w:szCs w:val="18"/>
              </w:rPr>
              <w:t>参照《复印机、打印机和传真机能效限定值及能效等级》（GB21521</w:t>
            </w:r>
            <w:r>
              <w:rPr>
                <w:rFonts w:ascii="宋体" w:hAnsi="宋体" w:cs="宋体"/>
                <w:kern w:val="0"/>
                <w:sz w:val="18"/>
                <w:szCs w:val="18"/>
              </w:rPr>
              <w:t>）</w:t>
            </w:r>
            <w:r>
              <w:rPr>
                <w:rFonts w:hint="eastAsia" w:ascii="宋体" w:hAnsi="宋体" w:cs="宋体"/>
                <w:kern w:val="0"/>
                <w:sz w:val="18"/>
                <w:szCs w:val="18"/>
              </w:rPr>
              <w:t>中打印速度为15页/分的针式打印机相关要求</w:t>
            </w:r>
          </w:p>
        </w:tc>
      </w:tr>
      <w:tr w14:paraId="75FE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jc w:val="center"/>
        </w:trPr>
        <w:tc>
          <w:tcPr>
            <w:tcW w:w="574" w:type="dxa"/>
            <w:vAlign w:val="center"/>
          </w:tcPr>
          <w:p w14:paraId="1273518B">
            <w:pPr>
              <w:jc w:val="center"/>
              <w:rPr>
                <w:rFonts w:hint="eastAsia" w:ascii="宋体" w:hAnsi="宋体" w:cs="宋体"/>
                <w:kern w:val="0"/>
                <w:sz w:val="18"/>
                <w:szCs w:val="18"/>
                <w:lang w:eastAsia="en-US"/>
              </w:rPr>
            </w:pPr>
            <w:r>
              <w:rPr>
                <w:rFonts w:hint="eastAsia" w:ascii="宋体" w:hAnsi="宋体" w:cs="宋体"/>
                <w:kern w:val="0"/>
                <w:sz w:val="18"/>
                <w:szCs w:val="18"/>
                <w:lang w:eastAsia="en-US"/>
              </w:rPr>
              <w:t>3</w:t>
            </w:r>
          </w:p>
        </w:tc>
        <w:tc>
          <w:tcPr>
            <w:tcW w:w="1166" w:type="dxa"/>
            <w:vAlign w:val="center"/>
          </w:tcPr>
          <w:p w14:paraId="6D0C041B">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A020202投影仪</w:t>
            </w:r>
          </w:p>
        </w:tc>
        <w:tc>
          <w:tcPr>
            <w:tcW w:w="1800" w:type="dxa"/>
            <w:vAlign w:val="center"/>
          </w:tcPr>
          <w:p w14:paraId="01066C02">
            <w:pPr>
              <w:jc w:val="left"/>
              <w:rPr>
                <w:rFonts w:hint="eastAsia" w:ascii="宋体" w:hAnsi="宋体" w:cs="宋体"/>
                <w:kern w:val="0"/>
                <w:sz w:val="18"/>
                <w:szCs w:val="18"/>
                <w:lang w:eastAsia="en-US"/>
              </w:rPr>
            </w:pPr>
          </w:p>
        </w:tc>
        <w:tc>
          <w:tcPr>
            <w:tcW w:w="1611" w:type="dxa"/>
            <w:vAlign w:val="center"/>
          </w:tcPr>
          <w:p w14:paraId="6E6A474A">
            <w:pPr>
              <w:jc w:val="left"/>
              <w:rPr>
                <w:rFonts w:hint="eastAsia" w:ascii="宋体" w:hAnsi="宋体" w:cs="宋体"/>
                <w:kern w:val="0"/>
                <w:sz w:val="18"/>
                <w:szCs w:val="18"/>
                <w:lang w:eastAsia="en-US"/>
              </w:rPr>
            </w:pPr>
          </w:p>
        </w:tc>
        <w:tc>
          <w:tcPr>
            <w:tcW w:w="4165" w:type="dxa"/>
            <w:vAlign w:val="center"/>
          </w:tcPr>
          <w:p w14:paraId="7E3DD56C">
            <w:pPr>
              <w:jc w:val="left"/>
              <w:rPr>
                <w:rFonts w:hint="eastAsia" w:ascii="宋体" w:hAnsi="宋体" w:cs="宋体"/>
                <w:kern w:val="0"/>
                <w:sz w:val="18"/>
                <w:szCs w:val="18"/>
              </w:rPr>
            </w:pPr>
            <w:r>
              <w:rPr>
                <w:rFonts w:hint="eastAsia" w:ascii="宋体" w:hAnsi="宋体" w:cs="宋体"/>
                <w:kern w:val="0"/>
                <w:sz w:val="18"/>
                <w:szCs w:val="18"/>
              </w:rPr>
              <w:t>《投影机能效限定值及能效等级</w:t>
            </w:r>
          </w:p>
          <w:p w14:paraId="25317910">
            <w:pPr>
              <w:jc w:val="left"/>
              <w:rPr>
                <w:rFonts w:hint="eastAsia" w:ascii="宋体" w:hAnsi="宋体" w:cs="宋体"/>
                <w:kern w:val="0"/>
                <w:sz w:val="18"/>
                <w:szCs w:val="18"/>
                <w:lang w:eastAsia="en-US"/>
              </w:rPr>
            </w:pPr>
            <w:r>
              <w:rPr>
                <w:rFonts w:hint="eastAsia" w:ascii="宋体" w:hAnsi="宋体" w:cs="宋体"/>
                <w:kern w:val="0"/>
                <w:sz w:val="18"/>
                <w:szCs w:val="18"/>
                <w:lang w:eastAsia="en-US"/>
              </w:rPr>
              <w:t>（GB32028）</w:t>
            </w:r>
          </w:p>
        </w:tc>
      </w:tr>
      <w:tr w14:paraId="445C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574" w:type="dxa"/>
            <w:vAlign w:val="center"/>
          </w:tcPr>
          <w:p w14:paraId="2F2376CC">
            <w:pPr>
              <w:jc w:val="center"/>
              <w:rPr>
                <w:rFonts w:hint="eastAsia" w:ascii="宋体" w:hAnsi="宋体" w:cs="宋体"/>
                <w:kern w:val="0"/>
                <w:sz w:val="18"/>
                <w:szCs w:val="18"/>
                <w:lang w:eastAsia="en-US"/>
              </w:rPr>
            </w:pPr>
            <w:r>
              <w:rPr>
                <w:rFonts w:hint="eastAsia" w:ascii="宋体" w:hAnsi="宋体" w:cs="宋体"/>
                <w:kern w:val="0"/>
                <w:sz w:val="18"/>
                <w:szCs w:val="18"/>
                <w:lang w:eastAsia="en-US"/>
              </w:rPr>
              <w:t>4</w:t>
            </w:r>
          </w:p>
        </w:tc>
        <w:tc>
          <w:tcPr>
            <w:tcW w:w="1166" w:type="dxa"/>
            <w:vAlign w:val="center"/>
          </w:tcPr>
          <w:p w14:paraId="7E913890">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A020204多功能一体机</w:t>
            </w:r>
          </w:p>
        </w:tc>
        <w:tc>
          <w:tcPr>
            <w:tcW w:w="1800" w:type="dxa"/>
            <w:vAlign w:val="center"/>
          </w:tcPr>
          <w:p w14:paraId="2433DEF4">
            <w:pPr>
              <w:rPr>
                <w:rFonts w:hint="eastAsia" w:ascii="宋体" w:hAnsi="宋体" w:cs="宋体"/>
                <w:kern w:val="0"/>
                <w:sz w:val="18"/>
                <w:szCs w:val="18"/>
                <w:lang w:eastAsia="en-US"/>
              </w:rPr>
            </w:pPr>
          </w:p>
        </w:tc>
        <w:tc>
          <w:tcPr>
            <w:tcW w:w="1611" w:type="dxa"/>
            <w:vAlign w:val="center"/>
          </w:tcPr>
          <w:p w14:paraId="74FD0D2E">
            <w:pPr>
              <w:rPr>
                <w:rFonts w:hint="eastAsia" w:ascii="宋体" w:hAnsi="宋体" w:cs="宋体"/>
                <w:kern w:val="0"/>
                <w:sz w:val="18"/>
                <w:szCs w:val="18"/>
                <w:lang w:eastAsia="en-US"/>
              </w:rPr>
            </w:pPr>
          </w:p>
        </w:tc>
        <w:tc>
          <w:tcPr>
            <w:tcW w:w="4165" w:type="dxa"/>
            <w:vAlign w:val="center"/>
          </w:tcPr>
          <w:p w14:paraId="2AEF960C">
            <w:pPr>
              <w:jc w:val="left"/>
              <w:rPr>
                <w:rFonts w:hint="eastAsia" w:ascii="宋体" w:hAnsi="宋体" w:cs="宋体"/>
                <w:kern w:val="0"/>
                <w:sz w:val="18"/>
                <w:szCs w:val="18"/>
              </w:rPr>
            </w:pPr>
            <w:r>
              <w:rPr>
                <w:rFonts w:hint="eastAsia" w:ascii="宋体" w:hAnsi="宋体" w:cs="宋体"/>
                <w:kern w:val="0"/>
                <w:sz w:val="18"/>
                <w:szCs w:val="18"/>
              </w:rPr>
              <w:t>《复印机、打印机和传真机能效限定值及能效等级》（GB21521）</w:t>
            </w:r>
          </w:p>
        </w:tc>
      </w:tr>
      <w:tr w14:paraId="7081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jc w:val="center"/>
        </w:trPr>
        <w:tc>
          <w:tcPr>
            <w:tcW w:w="574" w:type="dxa"/>
            <w:vAlign w:val="center"/>
          </w:tcPr>
          <w:p w14:paraId="1C479CD3">
            <w:pPr>
              <w:jc w:val="center"/>
              <w:rPr>
                <w:rFonts w:hint="eastAsia" w:ascii="宋体" w:hAnsi="宋体" w:cs="宋体"/>
                <w:kern w:val="0"/>
                <w:sz w:val="18"/>
                <w:szCs w:val="18"/>
                <w:lang w:eastAsia="en-US"/>
              </w:rPr>
            </w:pPr>
            <w:r>
              <w:rPr>
                <w:rFonts w:hint="eastAsia" w:ascii="宋体" w:hAnsi="宋体" w:cs="宋体"/>
                <w:kern w:val="0"/>
                <w:sz w:val="18"/>
                <w:szCs w:val="18"/>
                <w:lang w:eastAsia="en-US"/>
              </w:rPr>
              <w:t>5</w:t>
            </w:r>
          </w:p>
        </w:tc>
        <w:tc>
          <w:tcPr>
            <w:tcW w:w="1166" w:type="dxa"/>
            <w:vAlign w:val="center"/>
          </w:tcPr>
          <w:p w14:paraId="02580FAA">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A020519泵</w:t>
            </w:r>
          </w:p>
        </w:tc>
        <w:tc>
          <w:tcPr>
            <w:tcW w:w="1800" w:type="dxa"/>
            <w:vAlign w:val="center"/>
          </w:tcPr>
          <w:p w14:paraId="075DAB67">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A02051901离心泵</w:t>
            </w:r>
          </w:p>
        </w:tc>
        <w:tc>
          <w:tcPr>
            <w:tcW w:w="1611" w:type="dxa"/>
            <w:vAlign w:val="center"/>
          </w:tcPr>
          <w:p w14:paraId="2F853C34">
            <w:pPr>
              <w:jc w:val="left"/>
              <w:rPr>
                <w:rFonts w:hint="eastAsia" w:ascii="宋体" w:hAnsi="宋体" w:cs="宋体"/>
                <w:kern w:val="0"/>
                <w:sz w:val="18"/>
                <w:szCs w:val="18"/>
                <w:lang w:eastAsia="en-US"/>
              </w:rPr>
            </w:pPr>
          </w:p>
        </w:tc>
        <w:tc>
          <w:tcPr>
            <w:tcW w:w="4165" w:type="dxa"/>
            <w:vAlign w:val="center"/>
          </w:tcPr>
          <w:p w14:paraId="256360B0">
            <w:pPr>
              <w:jc w:val="left"/>
              <w:rPr>
                <w:rFonts w:hint="eastAsia" w:ascii="宋体" w:hAnsi="宋体" w:cs="宋体"/>
                <w:kern w:val="0"/>
                <w:sz w:val="18"/>
                <w:szCs w:val="18"/>
              </w:rPr>
            </w:pPr>
            <w:r>
              <w:rPr>
                <w:rFonts w:hint="eastAsia" w:ascii="宋体" w:hAnsi="宋体" w:cs="宋体"/>
                <w:kern w:val="0"/>
                <w:sz w:val="18"/>
                <w:szCs w:val="18"/>
              </w:rPr>
              <w:t>《清水离心泵能效限定值及节能评价值》（GB19762）</w:t>
            </w:r>
          </w:p>
        </w:tc>
      </w:tr>
      <w:tr w14:paraId="62257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574" w:type="dxa"/>
            <w:vMerge w:val="restart"/>
            <w:vAlign w:val="center"/>
          </w:tcPr>
          <w:p w14:paraId="210228D9">
            <w:pPr>
              <w:jc w:val="center"/>
              <w:rPr>
                <w:rFonts w:hint="eastAsia" w:ascii="宋体" w:hAnsi="宋体" w:cs="宋体"/>
                <w:kern w:val="0"/>
                <w:sz w:val="18"/>
                <w:szCs w:val="18"/>
                <w:lang w:eastAsia="en-US"/>
              </w:rPr>
            </w:pPr>
            <w:r>
              <w:rPr>
                <w:rFonts w:hint="eastAsia" w:ascii="宋体" w:hAnsi="宋体" w:cs="宋体"/>
                <w:kern w:val="0"/>
                <w:sz w:val="18"/>
                <w:szCs w:val="18"/>
                <w:lang w:eastAsia="en-US"/>
              </w:rPr>
              <w:t>6</w:t>
            </w:r>
          </w:p>
        </w:tc>
        <w:tc>
          <w:tcPr>
            <w:tcW w:w="1166" w:type="dxa"/>
            <w:vMerge w:val="restart"/>
            <w:vAlign w:val="center"/>
          </w:tcPr>
          <w:p w14:paraId="6AE5BF1B">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A020523制冷空调设备</w:t>
            </w:r>
          </w:p>
        </w:tc>
        <w:tc>
          <w:tcPr>
            <w:tcW w:w="1800" w:type="dxa"/>
            <w:vMerge w:val="restart"/>
            <w:vAlign w:val="center"/>
          </w:tcPr>
          <w:p w14:paraId="0AE16A72">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★A02052301制冷压缩机</w:t>
            </w:r>
          </w:p>
        </w:tc>
        <w:tc>
          <w:tcPr>
            <w:tcW w:w="1611" w:type="dxa"/>
            <w:vAlign w:val="center"/>
          </w:tcPr>
          <w:p w14:paraId="04BD3FCE">
            <w:pPr>
              <w:jc w:val="left"/>
              <w:rPr>
                <w:rFonts w:hint="eastAsia" w:ascii="宋体" w:hAnsi="宋体" w:cs="宋体"/>
                <w:kern w:val="0"/>
                <w:sz w:val="18"/>
                <w:szCs w:val="18"/>
                <w:lang w:eastAsia="en-US"/>
              </w:rPr>
            </w:pPr>
            <w:r>
              <w:rPr>
                <w:rFonts w:hint="eastAsia" w:ascii="宋体" w:hAnsi="宋体" w:cs="宋体"/>
                <w:kern w:val="0"/>
                <w:sz w:val="18"/>
                <w:szCs w:val="18"/>
                <w:lang w:eastAsia="en-US"/>
              </w:rPr>
              <w:t>冷水机组</w:t>
            </w:r>
          </w:p>
        </w:tc>
        <w:tc>
          <w:tcPr>
            <w:tcW w:w="4165" w:type="dxa"/>
            <w:vAlign w:val="center"/>
          </w:tcPr>
          <w:p w14:paraId="6B4571A3">
            <w:pPr>
              <w:jc w:val="left"/>
              <w:rPr>
                <w:rFonts w:hint="eastAsia" w:ascii="宋体" w:hAnsi="宋体" w:cs="宋体"/>
                <w:kern w:val="0"/>
                <w:sz w:val="18"/>
                <w:szCs w:val="18"/>
              </w:rPr>
            </w:pPr>
            <w:r>
              <w:rPr>
                <w:rFonts w:hint="eastAsia" w:ascii="宋体" w:hAnsi="宋体" w:cs="宋体"/>
                <w:kern w:val="0"/>
                <w:sz w:val="18"/>
                <w:szCs w:val="18"/>
              </w:rPr>
              <w:t>《冷水机组能效限定值及能效等级》（GB19577），《低环境温度空气源热泵（冷水）机组能效限定值及能效等级》（GB37480）</w:t>
            </w:r>
          </w:p>
        </w:tc>
      </w:tr>
      <w:tr w14:paraId="79F5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574" w:type="dxa"/>
            <w:vMerge w:val="continue"/>
            <w:vAlign w:val="center"/>
          </w:tcPr>
          <w:p w14:paraId="522F741E">
            <w:pPr>
              <w:jc w:val="left"/>
              <w:rPr>
                <w:rFonts w:hint="eastAsia" w:ascii="宋体" w:hAnsi="宋体" w:cs="宋体"/>
                <w:kern w:val="0"/>
                <w:sz w:val="18"/>
                <w:szCs w:val="18"/>
              </w:rPr>
            </w:pPr>
          </w:p>
        </w:tc>
        <w:tc>
          <w:tcPr>
            <w:tcW w:w="1166" w:type="dxa"/>
            <w:vMerge w:val="continue"/>
            <w:vAlign w:val="center"/>
          </w:tcPr>
          <w:p w14:paraId="01868C1A">
            <w:pPr>
              <w:jc w:val="left"/>
              <w:rPr>
                <w:rFonts w:hint="eastAsia" w:ascii="宋体" w:hAnsi="宋体" w:cs="宋体"/>
                <w:kern w:val="0"/>
                <w:sz w:val="18"/>
                <w:szCs w:val="18"/>
              </w:rPr>
            </w:pPr>
          </w:p>
        </w:tc>
        <w:tc>
          <w:tcPr>
            <w:tcW w:w="1800" w:type="dxa"/>
            <w:vMerge w:val="continue"/>
            <w:vAlign w:val="center"/>
          </w:tcPr>
          <w:p w14:paraId="21B975D3">
            <w:pPr>
              <w:jc w:val="left"/>
              <w:rPr>
                <w:rFonts w:hint="eastAsia" w:ascii="宋体" w:hAnsi="宋体" w:cs="宋体"/>
                <w:kern w:val="0"/>
                <w:sz w:val="18"/>
                <w:szCs w:val="18"/>
              </w:rPr>
            </w:pPr>
          </w:p>
        </w:tc>
        <w:tc>
          <w:tcPr>
            <w:tcW w:w="1611" w:type="dxa"/>
            <w:vAlign w:val="center"/>
          </w:tcPr>
          <w:p w14:paraId="62E9D1DB">
            <w:pPr>
              <w:jc w:val="left"/>
              <w:rPr>
                <w:rFonts w:hint="eastAsia" w:ascii="宋体" w:hAnsi="宋体" w:cs="宋体"/>
                <w:kern w:val="0"/>
                <w:sz w:val="18"/>
                <w:szCs w:val="18"/>
                <w:lang w:eastAsia="en-US"/>
              </w:rPr>
            </w:pPr>
            <w:r>
              <w:rPr>
                <w:rFonts w:hint="eastAsia" w:ascii="宋体" w:hAnsi="宋体" w:cs="宋体"/>
                <w:kern w:val="0"/>
                <w:sz w:val="18"/>
                <w:szCs w:val="18"/>
                <w:lang w:eastAsia="en-US"/>
              </w:rPr>
              <w:t>水源热泵机组</w:t>
            </w:r>
          </w:p>
        </w:tc>
        <w:tc>
          <w:tcPr>
            <w:tcW w:w="4165" w:type="dxa"/>
            <w:vAlign w:val="center"/>
          </w:tcPr>
          <w:p w14:paraId="3F24985C">
            <w:pPr>
              <w:jc w:val="left"/>
              <w:rPr>
                <w:rFonts w:hint="eastAsia" w:ascii="宋体" w:hAnsi="宋体" w:cs="宋体"/>
                <w:kern w:val="0"/>
                <w:sz w:val="18"/>
                <w:szCs w:val="18"/>
              </w:rPr>
            </w:pPr>
            <w:r>
              <w:rPr>
                <w:rFonts w:hint="eastAsia" w:ascii="宋体" w:hAnsi="宋体" w:cs="宋体"/>
                <w:kern w:val="0"/>
                <w:sz w:val="18"/>
                <w:szCs w:val="18"/>
              </w:rPr>
              <w:t>《水（地）源热泵机组能效限定值及能效等级》（GB30721）</w:t>
            </w:r>
          </w:p>
        </w:tc>
      </w:tr>
      <w:tr w14:paraId="3E0E0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jc w:val="center"/>
        </w:trPr>
        <w:tc>
          <w:tcPr>
            <w:tcW w:w="574" w:type="dxa"/>
            <w:vMerge w:val="continue"/>
            <w:vAlign w:val="center"/>
          </w:tcPr>
          <w:p w14:paraId="690BBDF3">
            <w:pPr>
              <w:jc w:val="left"/>
              <w:rPr>
                <w:rFonts w:hint="eastAsia" w:ascii="宋体" w:hAnsi="宋体" w:cs="宋体"/>
                <w:kern w:val="0"/>
                <w:sz w:val="18"/>
                <w:szCs w:val="18"/>
              </w:rPr>
            </w:pPr>
          </w:p>
        </w:tc>
        <w:tc>
          <w:tcPr>
            <w:tcW w:w="1166" w:type="dxa"/>
            <w:vMerge w:val="continue"/>
            <w:vAlign w:val="center"/>
          </w:tcPr>
          <w:p w14:paraId="0282F284">
            <w:pPr>
              <w:jc w:val="left"/>
              <w:rPr>
                <w:rFonts w:hint="eastAsia" w:ascii="宋体" w:hAnsi="宋体" w:cs="宋体"/>
                <w:kern w:val="0"/>
                <w:sz w:val="18"/>
                <w:szCs w:val="18"/>
              </w:rPr>
            </w:pPr>
          </w:p>
        </w:tc>
        <w:tc>
          <w:tcPr>
            <w:tcW w:w="1800" w:type="dxa"/>
            <w:vMerge w:val="continue"/>
            <w:vAlign w:val="center"/>
          </w:tcPr>
          <w:p w14:paraId="749E6042">
            <w:pPr>
              <w:jc w:val="left"/>
              <w:rPr>
                <w:rFonts w:hint="eastAsia" w:ascii="宋体" w:hAnsi="宋体" w:cs="宋体"/>
                <w:kern w:val="0"/>
                <w:sz w:val="18"/>
                <w:szCs w:val="18"/>
              </w:rPr>
            </w:pPr>
          </w:p>
        </w:tc>
        <w:tc>
          <w:tcPr>
            <w:tcW w:w="1611" w:type="dxa"/>
            <w:vAlign w:val="center"/>
          </w:tcPr>
          <w:p w14:paraId="7ADFA78E">
            <w:pPr>
              <w:jc w:val="left"/>
              <w:rPr>
                <w:rFonts w:hint="eastAsia" w:ascii="宋体" w:hAnsi="宋体" w:cs="宋体"/>
                <w:kern w:val="0"/>
                <w:sz w:val="18"/>
                <w:szCs w:val="18"/>
              </w:rPr>
            </w:pPr>
            <w:r>
              <w:rPr>
                <w:rFonts w:hint="eastAsia" w:ascii="宋体" w:hAnsi="宋体" w:cs="宋体"/>
                <w:kern w:val="0"/>
                <w:sz w:val="18"/>
                <w:szCs w:val="18"/>
              </w:rPr>
              <w:t>溴化锂吸收式冷水机组</w:t>
            </w:r>
          </w:p>
        </w:tc>
        <w:tc>
          <w:tcPr>
            <w:tcW w:w="4165" w:type="dxa"/>
            <w:vAlign w:val="center"/>
          </w:tcPr>
          <w:p w14:paraId="712BF2C9">
            <w:pPr>
              <w:jc w:val="left"/>
              <w:rPr>
                <w:rFonts w:hint="eastAsia" w:ascii="宋体" w:hAnsi="宋体" w:cs="宋体"/>
                <w:kern w:val="0"/>
                <w:sz w:val="18"/>
                <w:szCs w:val="18"/>
              </w:rPr>
            </w:pPr>
            <w:r>
              <w:rPr>
                <w:rFonts w:hint="eastAsia" w:ascii="宋体" w:hAnsi="宋体" w:cs="宋体"/>
                <w:kern w:val="0"/>
                <w:sz w:val="18"/>
                <w:szCs w:val="18"/>
              </w:rPr>
              <w:t>《溴化锂吸收式冷水机组能效限定值及能效等级》（GB29540）</w:t>
            </w:r>
          </w:p>
        </w:tc>
      </w:tr>
      <w:tr w14:paraId="34F2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5" w:hRule="exact"/>
          <w:jc w:val="center"/>
        </w:trPr>
        <w:tc>
          <w:tcPr>
            <w:tcW w:w="574" w:type="dxa"/>
            <w:vMerge w:val="continue"/>
            <w:vAlign w:val="center"/>
          </w:tcPr>
          <w:p w14:paraId="3A4E2F6C">
            <w:pPr>
              <w:jc w:val="left"/>
              <w:rPr>
                <w:rFonts w:hint="eastAsia" w:ascii="宋体" w:hAnsi="宋体" w:cs="宋体"/>
                <w:kern w:val="0"/>
                <w:sz w:val="18"/>
                <w:szCs w:val="18"/>
              </w:rPr>
            </w:pPr>
          </w:p>
        </w:tc>
        <w:tc>
          <w:tcPr>
            <w:tcW w:w="1166" w:type="dxa"/>
            <w:vMerge w:val="continue"/>
            <w:vAlign w:val="center"/>
          </w:tcPr>
          <w:p w14:paraId="647E134E">
            <w:pPr>
              <w:jc w:val="left"/>
              <w:rPr>
                <w:rFonts w:hint="eastAsia" w:ascii="宋体" w:hAnsi="宋体" w:cs="宋体"/>
                <w:kern w:val="0"/>
                <w:sz w:val="18"/>
                <w:szCs w:val="18"/>
              </w:rPr>
            </w:pPr>
          </w:p>
        </w:tc>
        <w:tc>
          <w:tcPr>
            <w:tcW w:w="1800" w:type="dxa"/>
            <w:vAlign w:val="center"/>
          </w:tcPr>
          <w:p w14:paraId="53B785B4">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★A02052305空调机组</w:t>
            </w:r>
          </w:p>
        </w:tc>
        <w:tc>
          <w:tcPr>
            <w:tcW w:w="1611" w:type="dxa"/>
            <w:vAlign w:val="center"/>
          </w:tcPr>
          <w:p w14:paraId="42913996">
            <w:pPr>
              <w:jc w:val="left"/>
              <w:rPr>
                <w:rFonts w:hint="eastAsia" w:ascii="宋体" w:hAnsi="宋体" w:cs="宋体"/>
                <w:kern w:val="0"/>
                <w:sz w:val="18"/>
                <w:szCs w:val="18"/>
              </w:rPr>
            </w:pPr>
            <w:r>
              <w:rPr>
                <w:rFonts w:hint="eastAsia" w:ascii="宋体" w:hAnsi="宋体" w:cs="宋体"/>
                <w:kern w:val="0"/>
                <w:sz w:val="18"/>
                <w:szCs w:val="18"/>
              </w:rPr>
              <w:t>多联式空调（热泵）机组(制冷量＞14000W)</w:t>
            </w:r>
          </w:p>
        </w:tc>
        <w:tc>
          <w:tcPr>
            <w:tcW w:w="4165" w:type="dxa"/>
            <w:vAlign w:val="center"/>
          </w:tcPr>
          <w:p w14:paraId="585AF83F">
            <w:pPr>
              <w:jc w:val="left"/>
              <w:rPr>
                <w:rFonts w:hint="eastAsia" w:ascii="宋体" w:hAnsi="宋体" w:cs="宋体"/>
                <w:kern w:val="0"/>
                <w:sz w:val="18"/>
                <w:szCs w:val="18"/>
              </w:rPr>
            </w:pPr>
            <w:r>
              <w:rPr>
                <w:rFonts w:hint="eastAsia" w:ascii="宋体" w:hAnsi="宋体" w:cs="宋体"/>
                <w:kern w:val="0"/>
                <w:sz w:val="18"/>
                <w:szCs w:val="18"/>
              </w:rPr>
              <w:t>《多联式空调（热泵）机组能效限定值及能源效率等级》（GB21454）</w:t>
            </w:r>
          </w:p>
        </w:tc>
      </w:tr>
      <w:tr w14:paraId="294D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6" w:hRule="atLeast"/>
          <w:jc w:val="center"/>
        </w:trPr>
        <w:tc>
          <w:tcPr>
            <w:tcW w:w="574" w:type="dxa"/>
            <w:vMerge w:val="continue"/>
            <w:vAlign w:val="center"/>
          </w:tcPr>
          <w:p w14:paraId="53E7528A">
            <w:pPr>
              <w:jc w:val="left"/>
              <w:rPr>
                <w:rFonts w:hint="eastAsia" w:ascii="宋体" w:hAnsi="宋体" w:cs="宋体"/>
                <w:kern w:val="0"/>
                <w:sz w:val="18"/>
                <w:szCs w:val="18"/>
              </w:rPr>
            </w:pPr>
          </w:p>
        </w:tc>
        <w:tc>
          <w:tcPr>
            <w:tcW w:w="1166" w:type="dxa"/>
            <w:vMerge w:val="continue"/>
            <w:vAlign w:val="center"/>
          </w:tcPr>
          <w:p w14:paraId="6C566407">
            <w:pPr>
              <w:jc w:val="left"/>
              <w:rPr>
                <w:rFonts w:hint="eastAsia" w:ascii="宋体" w:hAnsi="宋体" w:cs="宋体"/>
                <w:kern w:val="0"/>
                <w:sz w:val="18"/>
                <w:szCs w:val="18"/>
              </w:rPr>
            </w:pPr>
          </w:p>
        </w:tc>
        <w:tc>
          <w:tcPr>
            <w:tcW w:w="1800" w:type="dxa"/>
            <w:vAlign w:val="center"/>
          </w:tcPr>
          <w:p w14:paraId="49484FF6">
            <w:pPr>
              <w:jc w:val="left"/>
              <w:rPr>
                <w:rFonts w:hint="eastAsia" w:ascii="宋体" w:hAnsi="宋体" w:cs="宋体"/>
                <w:kern w:val="0"/>
                <w:sz w:val="18"/>
                <w:szCs w:val="18"/>
              </w:rPr>
            </w:pPr>
          </w:p>
        </w:tc>
        <w:tc>
          <w:tcPr>
            <w:tcW w:w="1611" w:type="dxa"/>
            <w:vAlign w:val="center"/>
          </w:tcPr>
          <w:p w14:paraId="76306E19">
            <w:pPr>
              <w:jc w:val="left"/>
              <w:rPr>
                <w:rFonts w:hint="eastAsia" w:ascii="宋体" w:hAnsi="宋体" w:cs="宋体"/>
                <w:kern w:val="0"/>
                <w:sz w:val="18"/>
                <w:szCs w:val="18"/>
              </w:rPr>
            </w:pPr>
            <w:r>
              <w:rPr>
                <w:rFonts w:hint="eastAsia" w:ascii="宋体" w:hAnsi="宋体" w:cs="宋体"/>
                <w:kern w:val="0"/>
                <w:sz w:val="18"/>
                <w:szCs w:val="18"/>
              </w:rPr>
              <w:t>单元式空气调节机</w:t>
            </w:r>
          </w:p>
          <w:p w14:paraId="3AFCBE34">
            <w:pPr>
              <w:jc w:val="left"/>
              <w:rPr>
                <w:rFonts w:hint="eastAsia" w:ascii="宋体" w:hAnsi="宋体" w:cs="宋体"/>
                <w:kern w:val="0"/>
                <w:sz w:val="18"/>
                <w:szCs w:val="18"/>
              </w:rPr>
            </w:pPr>
            <w:r>
              <w:rPr>
                <w:rFonts w:hint="eastAsia" w:ascii="宋体" w:hAnsi="宋体" w:cs="宋体"/>
                <w:kern w:val="0"/>
                <w:sz w:val="18"/>
                <w:szCs w:val="18"/>
              </w:rPr>
              <w:t>(制冷量＞14000W)</w:t>
            </w:r>
          </w:p>
        </w:tc>
        <w:tc>
          <w:tcPr>
            <w:tcW w:w="4165" w:type="dxa"/>
            <w:vAlign w:val="center"/>
          </w:tcPr>
          <w:p w14:paraId="0D1993F4">
            <w:pPr>
              <w:jc w:val="left"/>
              <w:rPr>
                <w:rFonts w:hint="eastAsia" w:ascii="宋体" w:hAnsi="宋体" w:cs="宋体"/>
                <w:kern w:val="0"/>
                <w:sz w:val="18"/>
                <w:szCs w:val="18"/>
              </w:rPr>
            </w:pPr>
            <w:r>
              <w:rPr>
                <w:rFonts w:hint="eastAsia" w:ascii="宋体" w:hAnsi="宋体" w:cs="宋体"/>
                <w:kern w:val="0"/>
                <w:sz w:val="18"/>
                <w:szCs w:val="18"/>
              </w:rPr>
              <w:t>《单元式空气调节机能效限定值及能效等级》（GB19576）《风管送风式空调机组能效限定值及能效等级》（GB37479）</w:t>
            </w:r>
          </w:p>
        </w:tc>
      </w:tr>
      <w:tr w14:paraId="64EF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jc w:val="center"/>
        </w:trPr>
        <w:tc>
          <w:tcPr>
            <w:tcW w:w="574" w:type="dxa"/>
            <w:vMerge w:val="continue"/>
            <w:vAlign w:val="center"/>
          </w:tcPr>
          <w:p w14:paraId="26EEE9F0">
            <w:pPr>
              <w:jc w:val="left"/>
              <w:rPr>
                <w:rFonts w:hint="eastAsia" w:ascii="宋体" w:hAnsi="宋体" w:cs="宋体"/>
                <w:kern w:val="0"/>
                <w:sz w:val="18"/>
                <w:szCs w:val="18"/>
              </w:rPr>
            </w:pPr>
          </w:p>
        </w:tc>
        <w:tc>
          <w:tcPr>
            <w:tcW w:w="1166" w:type="dxa"/>
            <w:vMerge w:val="continue"/>
            <w:vAlign w:val="center"/>
          </w:tcPr>
          <w:p w14:paraId="36916B9D">
            <w:pPr>
              <w:jc w:val="left"/>
              <w:rPr>
                <w:rFonts w:hint="eastAsia" w:ascii="宋体" w:hAnsi="宋体" w:cs="宋体"/>
                <w:kern w:val="0"/>
                <w:sz w:val="18"/>
                <w:szCs w:val="18"/>
              </w:rPr>
            </w:pPr>
          </w:p>
        </w:tc>
        <w:tc>
          <w:tcPr>
            <w:tcW w:w="1800" w:type="dxa"/>
            <w:vAlign w:val="center"/>
          </w:tcPr>
          <w:p w14:paraId="03DA2E32">
            <w:pPr>
              <w:jc w:val="left"/>
              <w:rPr>
                <w:rFonts w:hint="eastAsia" w:ascii="宋体" w:hAnsi="宋体" w:cs="宋体"/>
                <w:kern w:val="0"/>
                <w:sz w:val="18"/>
                <w:szCs w:val="18"/>
              </w:rPr>
            </w:pPr>
            <w:r>
              <w:rPr>
                <w:rFonts w:hint="eastAsia" w:ascii="宋体" w:hAnsi="宋体" w:cs="宋体"/>
                <w:kern w:val="0"/>
                <w:sz w:val="18"/>
                <w:szCs w:val="18"/>
              </w:rPr>
              <w:t>★A02052309专用制冷、空调设备</w:t>
            </w:r>
          </w:p>
        </w:tc>
        <w:tc>
          <w:tcPr>
            <w:tcW w:w="1621" w:type="dxa"/>
            <w:vAlign w:val="center"/>
          </w:tcPr>
          <w:p w14:paraId="642AE491">
            <w:pPr>
              <w:jc w:val="left"/>
              <w:rPr>
                <w:rFonts w:hint="eastAsia" w:ascii="宋体" w:hAnsi="宋体" w:cs="宋体"/>
                <w:kern w:val="0"/>
                <w:sz w:val="18"/>
                <w:szCs w:val="18"/>
                <w:lang w:eastAsia="en-US"/>
              </w:rPr>
            </w:pPr>
            <w:r>
              <w:rPr>
                <w:rFonts w:hint="eastAsia" w:ascii="宋体" w:hAnsi="宋体" w:cs="宋体"/>
                <w:kern w:val="0"/>
                <w:sz w:val="18"/>
                <w:szCs w:val="18"/>
                <w:lang w:eastAsia="en-US"/>
              </w:rPr>
              <w:t>机房空调</w:t>
            </w:r>
          </w:p>
        </w:tc>
        <w:tc>
          <w:tcPr>
            <w:tcW w:w="4142" w:type="dxa"/>
            <w:vAlign w:val="center"/>
          </w:tcPr>
          <w:p w14:paraId="5C8F758D">
            <w:pPr>
              <w:jc w:val="left"/>
              <w:rPr>
                <w:rFonts w:hint="eastAsia" w:ascii="宋体" w:hAnsi="宋体" w:cs="宋体"/>
                <w:kern w:val="0"/>
                <w:sz w:val="18"/>
                <w:szCs w:val="18"/>
              </w:rPr>
            </w:pPr>
            <w:r>
              <w:rPr>
                <w:rFonts w:hint="eastAsia" w:ascii="宋体" w:hAnsi="宋体" w:cs="宋体"/>
                <w:kern w:val="0"/>
                <w:sz w:val="18"/>
                <w:szCs w:val="18"/>
              </w:rPr>
              <w:t>《单元式空气调节机能效限定值</w:t>
            </w:r>
          </w:p>
          <w:p w14:paraId="069D8B20">
            <w:pPr>
              <w:jc w:val="left"/>
              <w:rPr>
                <w:rFonts w:hint="eastAsia" w:ascii="宋体" w:hAnsi="宋体" w:cs="宋体"/>
                <w:kern w:val="0"/>
                <w:sz w:val="18"/>
                <w:szCs w:val="18"/>
              </w:rPr>
            </w:pPr>
            <w:r>
              <w:rPr>
                <w:rFonts w:hint="eastAsia" w:ascii="宋体" w:hAnsi="宋体" w:cs="宋体"/>
                <w:kern w:val="0"/>
                <w:sz w:val="18"/>
                <w:szCs w:val="18"/>
              </w:rPr>
              <w:t>及能效等级》（GB19576）</w:t>
            </w:r>
          </w:p>
        </w:tc>
      </w:tr>
      <w:tr w14:paraId="0573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jc w:val="center"/>
        </w:trPr>
        <w:tc>
          <w:tcPr>
            <w:tcW w:w="574" w:type="dxa"/>
            <w:vMerge w:val="continue"/>
            <w:vAlign w:val="center"/>
          </w:tcPr>
          <w:p w14:paraId="414BE976">
            <w:pPr>
              <w:jc w:val="left"/>
              <w:rPr>
                <w:rFonts w:hint="eastAsia" w:ascii="宋体" w:hAnsi="宋体" w:cs="宋体"/>
                <w:kern w:val="0"/>
                <w:sz w:val="18"/>
                <w:szCs w:val="18"/>
              </w:rPr>
            </w:pPr>
          </w:p>
        </w:tc>
        <w:tc>
          <w:tcPr>
            <w:tcW w:w="1166" w:type="dxa"/>
            <w:vMerge w:val="continue"/>
            <w:vAlign w:val="center"/>
          </w:tcPr>
          <w:p w14:paraId="184820AC">
            <w:pPr>
              <w:jc w:val="left"/>
              <w:rPr>
                <w:rFonts w:hint="eastAsia" w:ascii="宋体" w:hAnsi="宋体" w:cs="宋体"/>
                <w:kern w:val="0"/>
                <w:sz w:val="18"/>
                <w:szCs w:val="18"/>
              </w:rPr>
            </w:pPr>
          </w:p>
        </w:tc>
        <w:tc>
          <w:tcPr>
            <w:tcW w:w="1800" w:type="dxa"/>
            <w:vAlign w:val="center"/>
          </w:tcPr>
          <w:p w14:paraId="221A20EE">
            <w:pPr>
              <w:rPr>
                <w:rFonts w:hint="eastAsia" w:ascii="宋体" w:hAnsi="宋体" w:cs="宋体"/>
                <w:kern w:val="0"/>
                <w:sz w:val="18"/>
                <w:szCs w:val="18"/>
                <w:lang w:eastAsia="en-US"/>
              </w:rPr>
            </w:pPr>
            <w:r>
              <w:rPr>
                <w:rFonts w:hint="eastAsia" w:ascii="宋体" w:hAnsi="宋体" w:cs="宋体"/>
                <w:kern w:val="0"/>
                <w:sz w:val="18"/>
                <w:szCs w:val="18"/>
                <w:lang w:eastAsia="en-US"/>
              </w:rPr>
              <w:t>A02052399其他制冷空调设备</w:t>
            </w:r>
          </w:p>
        </w:tc>
        <w:tc>
          <w:tcPr>
            <w:tcW w:w="1621" w:type="dxa"/>
            <w:vAlign w:val="center"/>
          </w:tcPr>
          <w:p w14:paraId="5F6E1803">
            <w:pPr>
              <w:rPr>
                <w:rFonts w:hint="eastAsia" w:ascii="宋体" w:hAnsi="宋体" w:cs="宋体"/>
                <w:kern w:val="0"/>
                <w:sz w:val="18"/>
                <w:szCs w:val="18"/>
                <w:lang w:eastAsia="en-US"/>
              </w:rPr>
            </w:pPr>
            <w:r>
              <w:rPr>
                <w:rFonts w:hint="eastAsia" w:ascii="宋体" w:hAnsi="宋体" w:cs="宋体"/>
                <w:kern w:val="0"/>
                <w:sz w:val="18"/>
                <w:szCs w:val="18"/>
                <w:lang w:eastAsia="en-US"/>
              </w:rPr>
              <w:t>冷却塔</w:t>
            </w:r>
          </w:p>
        </w:tc>
        <w:tc>
          <w:tcPr>
            <w:tcW w:w="4142" w:type="dxa"/>
            <w:vAlign w:val="center"/>
          </w:tcPr>
          <w:p w14:paraId="1D9C04DB">
            <w:pPr>
              <w:jc w:val="left"/>
              <w:rPr>
                <w:rFonts w:hint="eastAsia" w:ascii="宋体" w:hAnsi="宋体" w:cs="宋体"/>
                <w:kern w:val="0"/>
                <w:sz w:val="18"/>
                <w:szCs w:val="18"/>
              </w:rPr>
            </w:pPr>
            <w:r>
              <w:rPr>
                <w:rFonts w:hint="eastAsia" w:ascii="宋体" w:hAnsi="宋体" w:cs="宋体"/>
                <w:kern w:val="0"/>
                <w:sz w:val="18"/>
                <w:szCs w:val="18"/>
              </w:rPr>
              <w:t>《机械通风冷却塔第1部分：中小型开式冷却塔》（GB/T7190.1）《机械通风冷却塔第2部分：大型开式冷却塔》（GB/T7190.2）</w:t>
            </w:r>
          </w:p>
        </w:tc>
      </w:tr>
      <w:tr w14:paraId="3AA4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7" w:hRule="atLeast"/>
          <w:jc w:val="center"/>
        </w:trPr>
        <w:tc>
          <w:tcPr>
            <w:tcW w:w="574" w:type="dxa"/>
            <w:vAlign w:val="center"/>
          </w:tcPr>
          <w:p w14:paraId="2A43B7DA">
            <w:pPr>
              <w:jc w:val="center"/>
              <w:rPr>
                <w:rFonts w:hint="eastAsia" w:ascii="宋体" w:hAnsi="宋体" w:cs="宋体"/>
                <w:kern w:val="0"/>
                <w:sz w:val="18"/>
                <w:szCs w:val="18"/>
                <w:lang w:eastAsia="en-US"/>
              </w:rPr>
            </w:pPr>
            <w:r>
              <w:rPr>
                <w:rFonts w:hint="eastAsia" w:ascii="宋体" w:hAnsi="宋体" w:cs="宋体"/>
                <w:kern w:val="0"/>
                <w:sz w:val="18"/>
                <w:szCs w:val="18"/>
                <w:lang w:eastAsia="en-US"/>
              </w:rPr>
              <w:t>7</w:t>
            </w:r>
          </w:p>
        </w:tc>
        <w:tc>
          <w:tcPr>
            <w:tcW w:w="1166" w:type="dxa"/>
            <w:vAlign w:val="center"/>
          </w:tcPr>
          <w:p w14:paraId="02F0F40D">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A020601电机</w:t>
            </w:r>
          </w:p>
        </w:tc>
        <w:tc>
          <w:tcPr>
            <w:tcW w:w="1800" w:type="dxa"/>
            <w:vAlign w:val="center"/>
          </w:tcPr>
          <w:p w14:paraId="70CF3FA1">
            <w:pPr>
              <w:jc w:val="left"/>
              <w:rPr>
                <w:rFonts w:hint="eastAsia" w:ascii="宋体" w:hAnsi="宋体" w:cs="宋体"/>
                <w:kern w:val="0"/>
                <w:sz w:val="18"/>
                <w:szCs w:val="18"/>
                <w:lang w:eastAsia="en-US"/>
              </w:rPr>
            </w:pPr>
          </w:p>
        </w:tc>
        <w:tc>
          <w:tcPr>
            <w:tcW w:w="1621" w:type="dxa"/>
            <w:vAlign w:val="center"/>
          </w:tcPr>
          <w:p w14:paraId="59C90A6F">
            <w:pPr>
              <w:jc w:val="left"/>
              <w:rPr>
                <w:rFonts w:hint="eastAsia" w:ascii="宋体" w:hAnsi="宋体" w:cs="宋体"/>
                <w:kern w:val="0"/>
                <w:sz w:val="18"/>
                <w:szCs w:val="18"/>
                <w:lang w:eastAsia="en-US"/>
              </w:rPr>
            </w:pPr>
          </w:p>
        </w:tc>
        <w:tc>
          <w:tcPr>
            <w:tcW w:w="4142" w:type="dxa"/>
            <w:vAlign w:val="center"/>
          </w:tcPr>
          <w:p w14:paraId="10A23A57">
            <w:pPr>
              <w:jc w:val="left"/>
              <w:rPr>
                <w:rFonts w:hint="eastAsia" w:ascii="宋体" w:hAnsi="宋体" w:cs="宋体"/>
                <w:kern w:val="0"/>
                <w:sz w:val="18"/>
                <w:szCs w:val="18"/>
              </w:rPr>
            </w:pPr>
            <w:r>
              <w:rPr>
                <w:rFonts w:hint="eastAsia" w:ascii="宋体" w:hAnsi="宋体" w:cs="宋体"/>
                <w:kern w:val="0"/>
                <w:sz w:val="18"/>
                <w:szCs w:val="18"/>
              </w:rPr>
              <w:t>《中小型三相异步电动机能效限定值及能效等级》（GB18613）</w:t>
            </w:r>
          </w:p>
        </w:tc>
      </w:tr>
      <w:tr w14:paraId="3ADA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574" w:type="dxa"/>
            <w:vAlign w:val="center"/>
          </w:tcPr>
          <w:p w14:paraId="6024C4BD">
            <w:pPr>
              <w:jc w:val="center"/>
              <w:rPr>
                <w:rFonts w:hint="eastAsia" w:ascii="宋体" w:hAnsi="宋体" w:cs="宋体"/>
                <w:kern w:val="0"/>
                <w:sz w:val="18"/>
                <w:szCs w:val="18"/>
                <w:lang w:eastAsia="en-US"/>
              </w:rPr>
            </w:pPr>
            <w:r>
              <w:rPr>
                <w:rFonts w:hint="eastAsia" w:ascii="宋体" w:hAnsi="宋体" w:cs="宋体"/>
                <w:kern w:val="0"/>
                <w:sz w:val="18"/>
                <w:szCs w:val="18"/>
                <w:lang w:eastAsia="en-US"/>
              </w:rPr>
              <w:t>8</w:t>
            </w:r>
          </w:p>
        </w:tc>
        <w:tc>
          <w:tcPr>
            <w:tcW w:w="1166" w:type="dxa"/>
            <w:vAlign w:val="center"/>
          </w:tcPr>
          <w:p w14:paraId="7D9C6EA8">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A020602变压器</w:t>
            </w:r>
          </w:p>
        </w:tc>
        <w:tc>
          <w:tcPr>
            <w:tcW w:w="1800" w:type="dxa"/>
            <w:vAlign w:val="center"/>
          </w:tcPr>
          <w:p w14:paraId="754E27BA">
            <w:pPr>
              <w:jc w:val="left"/>
              <w:rPr>
                <w:rFonts w:hint="eastAsia" w:ascii="宋体" w:hAnsi="宋体" w:cs="宋体"/>
                <w:kern w:val="0"/>
                <w:sz w:val="18"/>
                <w:szCs w:val="18"/>
                <w:lang w:eastAsia="en-US"/>
              </w:rPr>
            </w:pPr>
            <w:r>
              <w:rPr>
                <w:rFonts w:hint="eastAsia" w:ascii="宋体" w:hAnsi="宋体" w:cs="宋体"/>
                <w:kern w:val="0"/>
                <w:sz w:val="18"/>
                <w:szCs w:val="18"/>
                <w:lang w:eastAsia="en-US"/>
              </w:rPr>
              <w:t>配电变压器</w:t>
            </w:r>
          </w:p>
        </w:tc>
        <w:tc>
          <w:tcPr>
            <w:tcW w:w="1621" w:type="dxa"/>
            <w:vAlign w:val="center"/>
          </w:tcPr>
          <w:p w14:paraId="5256FEC9">
            <w:pPr>
              <w:jc w:val="left"/>
              <w:rPr>
                <w:rFonts w:hint="eastAsia" w:ascii="宋体" w:hAnsi="宋体" w:cs="宋体"/>
                <w:kern w:val="0"/>
                <w:sz w:val="18"/>
                <w:szCs w:val="18"/>
                <w:lang w:eastAsia="en-US"/>
              </w:rPr>
            </w:pPr>
          </w:p>
        </w:tc>
        <w:tc>
          <w:tcPr>
            <w:tcW w:w="4142" w:type="dxa"/>
            <w:vAlign w:val="center"/>
          </w:tcPr>
          <w:p w14:paraId="6E79345E">
            <w:pPr>
              <w:jc w:val="left"/>
              <w:rPr>
                <w:rFonts w:hint="eastAsia" w:ascii="宋体" w:hAnsi="宋体" w:cs="宋体"/>
                <w:kern w:val="0"/>
                <w:sz w:val="18"/>
                <w:szCs w:val="18"/>
              </w:rPr>
            </w:pPr>
            <w:r>
              <w:rPr>
                <w:rFonts w:hint="eastAsia" w:ascii="宋体" w:hAnsi="宋体" w:cs="宋体"/>
                <w:kern w:val="0"/>
                <w:sz w:val="18"/>
                <w:szCs w:val="18"/>
              </w:rPr>
              <w:t>《三相配电变压器能效限定值及能效等级》（GB20052）</w:t>
            </w:r>
          </w:p>
        </w:tc>
      </w:tr>
      <w:tr w14:paraId="091A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jc w:val="center"/>
        </w:trPr>
        <w:tc>
          <w:tcPr>
            <w:tcW w:w="574" w:type="dxa"/>
            <w:vAlign w:val="center"/>
          </w:tcPr>
          <w:p w14:paraId="7A116B10">
            <w:pPr>
              <w:jc w:val="center"/>
              <w:rPr>
                <w:rFonts w:hint="eastAsia" w:ascii="宋体" w:hAnsi="宋体" w:cs="宋体"/>
                <w:kern w:val="0"/>
                <w:sz w:val="18"/>
                <w:szCs w:val="18"/>
                <w:lang w:eastAsia="en-US"/>
              </w:rPr>
            </w:pPr>
            <w:r>
              <w:rPr>
                <w:rFonts w:hint="eastAsia" w:ascii="宋体" w:hAnsi="宋体" w:cs="宋体"/>
                <w:kern w:val="0"/>
                <w:sz w:val="18"/>
                <w:szCs w:val="18"/>
                <w:lang w:eastAsia="en-US"/>
              </w:rPr>
              <w:t>9</w:t>
            </w:r>
          </w:p>
        </w:tc>
        <w:tc>
          <w:tcPr>
            <w:tcW w:w="1166" w:type="dxa"/>
            <w:vAlign w:val="center"/>
          </w:tcPr>
          <w:p w14:paraId="09453941">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★A020609镇流器</w:t>
            </w:r>
          </w:p>
        </w:tc>
        <w:tc>
          <w:tcPr>
            <w:tcW w:w="1800" w:type="dxa"/>
            <w:vAlign w:val="center"/>
          </w:tcPr>
          <w:p w14:paraId="3FB23094">
            <w:pPr>
              <w:jc w:val="left"/>
              <w:rPr>
                <w:rFonts w:hint="eastAsia" w:ascii="宋体" w:hAnsi="宋体" w:cs="宋体"/>
                <w:kern w:val="0"/>
                <w:sz w:val="18"/>
                <w:szCs w:val="18"/>
                <w:lang w:eastAsia="en-US"/>
              </w:rPr>
            </w:pPr>
            <w:r>
              <w:rPr>
                <w:rFonts w:hint="eastAsia" w:ascii="宋体" w:hAnsi="宋体" w:cs="宋体"/>
                <w:kern w:val="0"/>
                <w:sz w:val="18"/>
                <w:szCs w:val="18"/>
                <w:lang w:eastAsia="en-US"/>
              </w:rPr>
              <w:t>管型荧光灯镇流器</w:t>
            </w:r>
          </w:p>
        </w:tc>
        <w:tc>
          <w:tcPr>
            <w:tcW w:w="1621" w:type="dxa"/>
            <w:vAlign w:val="center"/>
          </w:tcPr>
          <w:p w14:paraId="31FE7FEC">
            <w:pPr>
              <w:jc w:val="left"/>
              <w:rPr>
                <w:rFonts w:hint="eastAsia" w:ascii="宋体" w:hAnsi="宋体" w:cs="宋体"/>
                <w:kern w:val="0"/>
                <w:sz w:val="18"/>
                <w:szCs w:val="18"/>
                <w:lang w:eastAsia="en-US"/>
              </w:rPr>
            </w:pPr>
          </w:p>
        </w:tc>
        <w:tc>
          <w:tcPr>
            <w:tcW w:w="4142" w:type="dxa"/>
            <w:vAlign w:val="center"/>
          </w:tcPr>
          <w:p w14:paraId="0B7E58A1">
            <w:pPr>
              <w:jc w:val="left"/>
              <w:rPr>
                <w:rFonts w:hint="eastAsia" w:ascii="宋体" w:hAnsi="宋体" w:cs="宋体"/>
                <w:kern w:val="0"/>
                <w:sz w:val="18"/>
                <w:szCs w:val="18"/>
              </w:rPr>
            </w:pPr>
            <w:r>
              <w:rPr>
                <w:rFonts w:hint="eastAsia" w:ascii="宋体" w:hAnsi="宋体" w:cs="宋体"/>
                <w:kern w:val="0"/>
                <w:sz w:val="18"/>
                <w:szCs w:val="18"/>
              </w:rPr>
              <w:t>《管形荧光灯镇流器能效限定值及能效等级》（GB17896）</w:t>
            </w:r>
          </w:p>
        </w:tc>
      </w:tr>
      <w:tr w14:paraId="6C6FD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 w:hRule="atLeast"/>
          <w:jc w:val="center"/>
        </w:trPr>
        <w:tc>
          <w:tcPr>
            <w:tcW w:w="574" w:type="dxa"/>
            <w:vMerge w:val="restart"/>
            <w:vAlign w:val="center"/>
          </w:tcPr>
          <w:p w14:paraId="646E7022">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10</w:t>
            </w:r>
          </w:p>
        </w:tc>
        <w:tc>
          <w:tcPr>
            <w:tcW w:w="1166" w:type="dxa"/>
            <w:vMerge w:val="restart"/>
            <w:vAlign w:val="center"/>
          </w:tcPr>
          <w:p w14:paraId="7BD0B332">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A020618生活用电器</w:t>
            </w:r>
          </w:p>
        </w:tc>
        <w:tc>
          <w:tcPr>
            <w:tcW w:w="1800" w:type="dxa"/>
            <w:vAlign w:val="center"/>
          </w:tcPr>
          <w:p w14:paraId="1077861E">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A0206180101电冰箱</w:t>
            </w:r>
          </w:p>
        </w:tc>
        <w:tc>
          <w:tcPr>
            <w:tcW w:w="1621" w:type="dxa"/>
            <w:vAlign w:val="center"/>
          </w:tcPr>
          <w:p w14:paraId="5460F79A">
            <w:pPr>
              <w:rPr>
                <w:rFonts w:hint="eastAsia" w:ascii="宋体" w:hAnsi="宋体" w:cs="宋体"/>
                <w:kern w:val="0"/>
                <w:sz w:val="18"/>
                <w:szCs w:val="18"/>
                <w:lang w:eastAsia="en-US"/>
              </w:rPr>
            </w:pPr>
          </w:p>
        </w:tc>
        <w:tc>
          <w:tcPr>
            <w:tcW w:w="4142" w:type="dxa"/>
            <w:vAlign w:val="center"/>
          </w:tcPr>
          <w:p w14:paraId="2707AC75">
            <w:pPr>
              <w:jc w:val="left"/>
              <w:rPr>
                <w:rFonts w:hint="eastAsia" w:ascii="宋体" w:hAnsi="宋体" w:cs="宋体"/>
                <w:kern w:val="0"/>
                <w:sz w:val="18"/>
                <w:szCs w:val="18"/>
              </w:rPr>
            </w:pPr>
            <w:r>
              <w:rPr>
                <w:rFonts w:hint="eastAsia" w:ascii="宋体" w:hAnsi="宋体" w:cs="宋体"/>
                <w:kern w:val="0"/>
                <w:sz w:val="18"/>
                <w:szCs w:val="18"/>
              </w:rPr>
              <w:t>《家用电冰箱耗电量限定值及能效等级》（GB12021.2）</w:t>
            </w:r>
          </w:p>
        </w:tc>
      </w:tr>
      <w:tr w14:paraId="6B68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574" w:type="dxa"/>
            <w:vMerge w:val="continue"/>
            <w:vAlign w:val="center"/>
          </w:tcPr>
          <w:p w14:paraId="18E5BC56">
            <w:pPr>
              <w:jc w:val="left"/>
              <w:rPr>
                <w:rFonts w:hint="eastAsia" w:ascii="宋体" w:hAnsi="宋体" w:cs="宋体"/>
                <w:kern w:val="0"/>
                <w:sz w:val="18"/>
                <w:szCs w:val="18"/>
              </w:rPr>
            </w:pPr>
          </w:p>
        </w:tc>
        <w:tc>
          <w:tcPr>
            <w:tcW w:w="1166" w:type="dxa"/>
            <w:vMerge w:val="continue"/>
            <w:vAlign w:val="center"/>
          </w:tcPr>
          <w:p w14:paraId="4076E99D">
            <w:pPr>
              <w:jc w:val="left"/>
              <w:rPr>
                <w:rFonts w:hint="eastAsia" w:ascii="宋体" w:hAnsi="宋体" w:cs="宋体"/>
                <w:kern w:val="0"/>
                <w:sz w:val="18"/>
                <w:szCs w:val="18"/>
              </w:rPr>
            </w:pPr>
          </w:p>
        </w:tc>
        <w:tc>
          <w:tcPr>
            <w:tcW w:w="1800" w:type="dxa"/>
            <w:vMerge w:val="restart"/>
            <w:vAlign w:val="center"/>
          </w:tcPr>
          <w:p w14:paraId="2CECF29E">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★A0206180203空调机</w:t>
            </w:r>
          </w:p>
        </w:tc>
        <w:tc>
          <w:tcPr>
            <w:tcW w:w="1621" w:type="dxa"/>
            <w:vAlign w:val="center"/>
          </w:tcPr>
          <w:p w14:paraId="19247549">
            <w:pPr>
              <w:jc w:val="left"/>
              <w:rPr>
                <w:rFonts w:hint="eastAsia" w:ascii="宋体" w:hAnsi="宋体" w:cs="宋体"/>
                <w:kern w:val="0"/>
                <w:sz w:val="18"/>
                <w:szCs w:val="18"/>
                <w:lang w:eastAsia="en-US"/>
              </w:rPr>
            </w:pPr>
            <w:r>
              <w:rPr>
                <w:rFonts w:hint="eastAsia" w:ascii="宋体" w:hAnsi="宋体" w:cs="宋体"/>
                <w:kern w:val="0"/>
                <w:sz w:val="18"/>
                <w:szCs w:val="18"/>
                <w:lang w:eastAsia="en-US"/>
              </w:rPr>
              <w:t>房间空气调节器</w:t>
            </w:r>
          </w:p>
        </w:tc>
        <w:tc>
          <w:tcPr>
            <w:tcW w:w="4142" w:type="dxa"/>
            <w:vAlign w:val="center"/>
          </w:tcPr>
          <w:p w14:paraId="26B43BDA">
            <w:pPr>
              <w:jc w:val="left"/>
              <w:rPr>
                <w:rFonts w:hint="eastAsia" w:ascii="宋体" w:hAnsi="宋体" w:cs="宋体"/>
                <w:kern w:val="0"/>
                <w:sz w:val="18"/>
                <w:szCs w:val="18"/>
              </w:rPr>
            </w:pPr>
            <w:r>
              <w:rPr>
                <w:rFonts w:hint="eastAsia" w:ascii="宋体" w:hAnsi="宋体" w:cs="宋体"/>
                <w:kern w:val="0"/>
                <w:sz w:val="18"/>
                <w:szCs w:val="18"/>
              </w:rPr>
              <w:t>《转速可控型房间空气调节器能效限定值及能效等级》（GB21455-2013），待2019年修订发布后，按《房间空气调节器能效限定值及能效等级》（GB21455-2019实施。</w:t>
            </w:r>
          </w:p>
        </w:tc>
      </w:tr>
      <w:tr w14:paraId="6F90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exact"/>
          <w:jc w:val="center"/>
        </w:trPr>
        <w:tc>
          <w:tcPr>
            <w:tcW w:w="574" w:type="dxa"/>
            <w:vMerge w:val="continue"/>
            <w:vAlign w:val="center"/>
          </w:tcPr>
          <w:p w14:paraId="2FBB04BE">
            <w:pPr>
              <w:jc w:val="left"/>
              <w:rPr>
                <w:rFonts w:hint="eastAsia" w:ascii="宋体" w:hAnsi="宋体" w:cs="宋体"/>
                <w:kern w:val="0"/>
                <w:sz w:val="18"/>
                <w:szCs w:val="18"/>
              </w:rPr>
            </w:pPr>
          </w:p>
        </w:tc>
        <w:tc>
          <w:tcPr>
            <w:tcW w:w="1166" w:type="dxa"/>
            <w:vMerge w:val="continue"/>
            <w:vAlign w:val="center"/>
          </w:tcPr>
          <w:p w14:paraId="34B1BA93">
            <w:pPr>
              <w:jc w:val="left"/>
              <w:rPr>
                <w:rFonts w:hint="eastAsia" w:ascii="宋体" w:hAnsi="宋体" w:cs="宋体"/>
                <w:kern w:val="0"/>
                <w:sz w:val="18"/>
                <w:szCs w:val="18"/>
              </w:rPr>
            </w:pPr>
          </w:p>
        </w:tc>
        <w:tc>
          <w:tcPr>
            <w:tcW w:w="1800" w:type="dxa"/>
            <w:vMerge w:val="continue"/>
            <w:vAlign w:val="center"/>
          </w:tcPr>
          <w:p w14:paraId="214F732B">
            <w:pPr>
              <w:jc w:val="left"/>
              <w:rPr>
                <w:rFonts w:hint="eastAsia" w:ascii="宋体" w:hAnsi="宋体" w:cs="宋体"/>
                <w:kern w:val="0"/>
                <w:sz w:val="18"/>
                <w:szCs w:val="18"/>
              </w:rPr>
            </w:pPr>
          </w:p>
        </w:tc>
        <w:tc>
          <w:tcPr>
            <w:tcW w:w="1621" w:type="dxa"/>
            <w:vAlign w:val="center"/>
          </w:tcPr>
          <w:p w14:paraId="00020354">
            <w:pPr>
              <w:jc w:val="left"/>
              <w:rPr>
                <w:rFonts w:hint="eastAsia" w:ascii="宋体" w:hAnsi="宋体" w:cs="宋体"/>
                <w:kern w:val="0"/>
                <w:sz w:val="18"/>
                <w:szCs w:val="18"/>
              </w:rPr>
            </w:pPr>
            <w:r>
              <w:rPr>
                <w:rFonts w:hint="eastAsia" w:ascii="宋体" w:hAnsi="宋体" w:cs="宋体"/>
                <w:kern w:val="0"/>
                <w:sz w:val="18"/>
                <w:szCs w:val="18"/>
              </w:rPr>
              <w:t>多联式空调（热泵）机组（制冷量≤14000W）</w:t>
            </w:r>
          </w:p>
        </w:tc>
        <w:tc>
          <w:tcPr>
            <w:tcW w:w="4142" w:type="dxa"/>
            <w:vAlign w:val="center"/>
          </w:tcPr>
          <w:p w14:paraId="684664A9">
            <w:pPr>
              <w:jc w:val="left"/>
              <w:rPr>
                <w:rFonts w:hint="eastAsia" w:ascii="宋体" w:hAnsi="宋体" w:cs="宋体"/>
                <w:kern w:val="0"/>
                <w:sz w:val="18"/>
                <w:szCs w:val="18"/>
              </w:rPr>
            </w:pPr>
            <w:r>
              <w:rPr>
                <w:rFonts w:hint="eastAsia" w:ascii="宋体" w:hAnsi="宋体" w:cs="宋体"/>
                <w:kern w:val="0"/>
                <w:sz w:val="18"/>
                <w:szCs w:val="18"/>
              </w:rPr>
              <w:t>《多联式空调（热泵）机组能效限定值及能源效率等级》（GB21454）</w:t>
            </w:r>
          </w:p>
        </w:tc>
      </w:tr>
      <w:tr w14:paraId="032E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574" w:type="dxa"/>
            <w:vMerge w:val="continue"/>
            <w:vAlign w:val="center"/>
          </w:tcPr>
          <w:p w14:paraId="19AE8CCF">
            <w:pPr>
              <w:jc w:val="left"/>
              <w:rPr>
                <w:rFonts w:hint="eastAsia" w:ascii="宋体" w:hAnsi="宋体" w:cs="宋体"/>
                <w:kern w:val="0"/>
                <w:sz w:val="18"/>
                <w:szCs w:val="18"/>
              </w:rPr>
            </w:pPr>
          </w:p>
        </w:tc>
        <w:tc>
          <w:tcPr>
            <w:tcW w:w="1166" w:type="dxa"/>
            <w:vMerge w:val="continue"/>
            <w:vAlign w:val="center"/>
          </w:tcPr>
          <w:p w14:paraId="585CB2A5">
            <w:pPr>
              <w:jc w:val="left"/>
              <w:rPr>
                <w:rFonts w:hint="eastAsia" w:ascii="宋体" w:hAnsi="宋体" w:cs="宋体"/>
                <w:kern w:val="0"/>
                <w:sz w:val="18"/>
                <w:szCs w:val="18"/>
              </w:rPr>
            </w:pPr>
          </w:p>
        </w:tc>
        <w:tc>
          <w:tcPr>
            <w:tcW w:w="1800" w:type="dxa"/>
            <w:vMerge w:val="continue"/>
            <w:vAlign w:val="center"/>
          </w:tcPr>
          <w:p w14:paraId="773E4EC9">
            <w:pPr>
              <w:jc w:val="left"/>
              <w:rPr>
                <w:rFonts w:hint="eastAsia" w:ascii="宋体" w:hAnsi="宋体" w:cs="宋体"/>
                <w:kern w:val="0"/>
                <w:sz w:val="18"/>
                <w:szCs w:val="18"/>
              </w:rPr>
            </w:pPr>
          </w:p>
        </w:tc>
        <w:tc>
          <w:tcPr>
            <w:tcW w:w="1621" w:type="dxa"/>
            <w:vAlign w:val="center"/>
          </w:tcPr>
          <w:p w14:paraId="2C6175F9">
            <w:pPr>
              <w:jc w:val="left"/>
              <w:rPr>
                <w:rFonts w:hint="eastAsia" w:ascii="宋体" w:hAnsi="宋体" w:cs="宋体"/>
                <w:kern w:val="0"/>
                <w:sz w:val="18"/>
                <w:szCs w:val="18"/>
                <w:lang w:eastAsia="en-US"/>
              </w:rPr>
            </w:pPr>
            <w:r>
              <w:rPr>
                <w:rFonts w:hint="eastAsia" w:ascii="宋体" w:hAnsi="宋体" w:cs="宋体"/>
                <w:kern w:val="0"/>
                <w:sz w:val="18"/>
                <w:szCs w:val="18"/>
                <w:lang w:eastAsia="en-US"/>
              </w:rPr>
              <w:t>单元式空气调节机</w:t>
            </w:r>
          </w:p>
        </w:tc>
        <w:tc>
          <w:tcPr>
            <w:tcW w:w="4142" w:type="dxa"/>
            <w:vMerge w:val="restart"/>
            <w:vAlign w:val="center"/>
          </w:tcPr>
          <w:p w14:paraId="31F79C29">
            <w:pPr>
              <w:jc w:val="left"/>
              <w:rPr>
                <w:rFonts w:hint="eastAsia" w:ascii="宋体" w:hAnsi="宋体" w:cs="宋体"/>
                <w:kern w:val="0"/>
                <w:sz w:val="18"/>
                <w:szCs w:val="18"/>
              </w:rPr>
            </w:pPr>
            <w:r>
              <w:rPr>
                <w:rFonts w:hint="eastAsia" w:ascii="宋体" w:hAnsi="宋体" w:cs="宋体"/>
                <w:kern w:val="0"/>
                <w:sz w:val="18"/>
                <w:szCs w:val="18"/>
              </w:rPr>
              <w:t>《单元式空气调节机能效限定值及能源效率等级》（GB19576）《风管送风式空调机组能效限定值及能效等级》（GB37479）</w:t>
            </w:r>
          </w:p>
        </w:tc>
      </w:tr>
      <w:tr w14:paraId="6D43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74" w:type="dxa"/>
            <w:vMerge w:val="continue"/>
            <w:vAlign w:val="center"/>
          </w:tcPr>
          <w:p w14:paraId="30E599A2">
            <w:pPr>
              <w:jc w:val="left"/>
              <w:rPr>
                <w:rFonts w:hint="eastAsia" w:ascii="宋体" w:hAnsi="宋体" w:cs="宋体"/>
                <w:kern w:val="0"/>
                <w:sz w:val="18"/>
                <w:szCs w:val="18"/>
              </w:rPr>
            </w:pPr>
          </w:p>
        </w:tc>
        <w:tc>
          <w:tcPr>
            <w:tcW w:w="1166" w:type="dxa"/>
            <w:vMerge w:val="continue"/>
            <w:vAlign w:val="center"/>
          </w:tcPr>
          <w:p w14:paraId="7343AB20">
            <w:pPr>
              <w:jc w:val="left"/>
              <w:rPr>
                <w:rFonts w:hint="eastAsia" w:ascii="宋体" w:hAnsi="宋体" w:cs="宋体"/>
                <w:kern w:val="0"/>
                <w:sz w:val="18"/>
                <w:szCs w:val="18"/>
              </w:rPr>
            </w:pPr>
          </w:p>
        </w:tc>
        <w:tc>
          <w:tcPr>
            <w:tcW w:w="1800" w:type="dxa"/>
            <w:vMerge w:val="continue"/>
            <w:vAlign w:val="center"/>
          </w:tcPr>
          <w:p w14:paraId="0608E237">
            <w:pPr>
              <w:jc w:val="left"/>
              <w:rPr>
                <w:rFonts w:hint="eastAsia" w:ascii="宋体" w:hAnsi="宋体" w:cs="宋体"/>
                <w:kern w:val="0"/>
                <w:sz w:val="18"/>
                <w:szCs w:val="18"/>
              </w:rPr>
            </w:pPr>
          </w:p>
        </w:tc>
        <w:tc>
          <w:tcPr>
            <w:tcW w:w="1621" w:type="dxa"/>
            <w:vAlign w:val="center"/>
          </w:tcPr>
          <w:p w14:paraId="1DDB0790">
            <w:pPr>
              <w:jc w:val="left"/>
              <w:rPr>
                <w:rFonts w:hint="eastAsia" w:ascii="宋体" w:hAnsi="宋体" w:cs="宋体"/>
                <w:kern w:val="0"/>
                <w:sz w:val="18"/>
                <w:szCs w:val="18"/>
                <w:lang w:eastAsia="en-US"/>
              </w:rPr>
            </w:pPr>
            <w:r>
              <w:rPr>
                <w:rFonts w:hint="eastAsia" w:ascii="宋体" w:hAnsi="宋体" w:cs="宋体"/>
                <w:kern w:val="0"/>
                <w:sz w:val="18"/>
                <w:szCs w:val="18"/>
                <w:lang w:eastAsia="en-US"/>
              </w:rPr>
              <w:t>(制冷量≤14000W)</w:t>
            </w:r>
          </w:p>
        </w:tc>
        <w:tc>
          <w:tcPr>
            <w:tcW w:w="4142" w:type="dxa"/>
            <w:vMerge w:val="continue"/>
            <w:vAlign w:val="center"/>
          </w:tcPr>
          <w:p w14:paraId="76BDDFE6">
            <w:pPr>
              <w:jc w:val="left"/>
              <w:rPr>
                <w:rFonts w:hint="eastAsia" w:ascii="宋体" w:hAnsi="宋体" w:cs="宋体"/>
                <w:kern w:val="0"/>
                <w:sz w:val="18"/>
                <w:szCs w:val="18"/>
                <w:lang w:eastAsia="en-US"/>
              </w:rPr>
            </w:pPr>
          </w:p>
        </w:tc>
      </w:tr>
      <w:tr w14:paraId="094D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74" w:type="dxa"/>
            <w:vMerge w:val="continue"/>
            <w:vAlign w:val="center"/>
          </w:tcPr>
          <w:p w14:paraId="4E56926A">
            <w:pPr>
              <w:jc w:val="left"/>
              <w:rPr>
                <w:rFonts w:hint="eastAsia" w:ascii="宋体" w:hAnsi="宋体" w:cs="宋体"/>
                <w:kern w:val="0"/>
                <w:sz w:val="18"/>
                <w:szCs w:val="18"/>
                <w:lang w:eastAsia="en-US"/>
              </w:rPr>
            </w:pPr>
          </w:p>
        </w:tc>
        <w:tc>
          <w:tcPr>
            <w:tcW w:w="1166" w:type="dxa"/>
            <w:vMerge w:val="continue"/>
            <w:vAlign w:val="center"/>
          </w:tcPr>
          <w:p w14:paraId="6A3BDCF9">
            <w:pPr>
              <w:jc w:val="left"/>
              <w:rPr>
                <w:rFonts w:hint="eastAsia" w:ascii="宋体" w:hAnsi="宋体" w:cs="宋体"/>
                <w:kern w:val="0"/>
                <w:sz w:val="18"/>
                <w:szCs w:val="18"/>
                <w:lang w:eastAsia="en-US"/>
              </w:rPr>
            </w:pPr>
          </w:p>
        </w:tc>
        <w:tc>
          <w:tcPr>
            <w:tcW w:w="1800" w:type="dxa"/>
            <w:vAlign w:val="center"/>
          </w:tcPr>
          <w:p w14:paraId="15992EF3">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A0206180301洗衣机</w:t>
            </w:r>
          </w:p>
        </w:tc>
        <w:tc>
          <w:tcPr>
            <w:tcW w:w="1621" w:type="dxa"/>
            <w:vAlign w:val="center"/>
          </w:tcPr>
          <w:p w14:paraId="30AAE8BC">
            <w:pPr>
              <w:rPr>
                <w:rFonts w:hint="eastAsia" w:ascii="宋体" w:hAnsi="宋体" w:cs="宋体"/>
                <w:kern w:val="0"/>
                <w:sz w:val="18"/>
                <w:szCs w:val="18"/>
                <w:lang w:eastAsia="en-US"/>
              </w:rPr>
            </w:pPr>
          </w:p>
        </w:tc>
        <w:tc>
          <w:tcPr>
            <w:tcW w:w="4142" w:type="dxa"/>
            <w:vAlign w:val="center"/>
          </w:tcPr>
          <w:p w14:paraId="27AF4093">
            <w:pPr>
              <w:jc w:val="left"/>
              <w:rPr>
                <w:rFonts w:hint="eastAsia" w:ascii="宋体" w:hAnsi="宋体" w:cs="宋体"/>
                <w:kern w:val="0"/>
                <w:sz w:val="18"/>
                <w:szCs w:val="18"/>
              </w:rPr>
            </w:pPr>
            <w:r>
              <w:rPr>
                <w:rFonts w:hint="eastAsia" w:ascii="宋体" w:hAnsi="宋体" w:cs="宋体"/>
                <w:kern w:val="0"/>
                <w:sz w:val="18"/>
                <w:szCs w:val="18"/>
              </w:rPr>
              <w:t>《电动洗衣机能效水效限定值及等级》（GB12021.4）</w:t>
            </w:r>
          </w:p>
        </w:tc>
      </w:tr>
      <w:tr w14:paraId="522B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exact"/>
          <w:jc w:val="center"/>
        </w:trPr>
        <w:tc>
          <w:tcPr>
            <w:tcW w:w="574" w:type="dxa"/>
            <w:vMerge w:val="continue"/>
            <w:vAlign w:val="center"/>
          </w:tcPr>
          <w:p w14:paraId="6E7CDF24">
            <w:pPr>
              <w:jc w:val="left"/>
              <w:rPr>
                <w:rFonts w:hint="eastAsia" w:ascii="宋体" w:hAnsi="宋体" w:cs="宋体"/>
                <w:kern w:val="0"/>
                <w:sz w:val="18"/>
                <w:szCs w:val="18"/>
              </w:rPr>
            </w:pPr>
          </w:p>
        </w:tc>
        <w:tc>
          <w:tcPr>
            <w:tcW w:w="1166" w:type="dxa"/>
            <w:vMerge w:val="continue"/>
            <w:vAlign w:val="center"/>
          </w:tcPr>
          <w:p w14:paraId="47896595">
            <w:pPr>
              <w:jc w:val="left"/>
              <w:rPr>
                <w:rFonts w:hint="eastAsia" w:ascii="宋体" w:hAnsi="宋体" w:cs="宋体"/>
                <w:kern w:val="0"/>
                <w:sz w:val="18"/>
                <w:szCs w:val="18"/>
              </w:rPr>
            </w:pPr>
          </w:p>
        </w:tc>
        <w:tc>
          <w:tcPr>
            <w:tcW w:w="1800" w:type="dxa"/>
            <w:vMerge w:val="restart"/>
            <w:vAlign w:val="center"/>
          </w:tcPr>
          <w:p w14:paraId="7D0AE88E">
            <w:pPr>
              <w:rPr>
                <w:rFonts w:hint="eastAsia" w:ascii="宋体" w:hAnsi="宋体" w:cs="宋体"/>
                <w:kern w:val="0"/>
                <w:sz w:val="18"/>
                <w:szCs w:val="18"/>
                <w:lang w:eastAsia="en-US"/>
              </w:rPr>
            </w:pPr>
            <w:r>
              <w:rPr>
                <w:rFonts w:hint="eastAsia" w:ascii="宋体" w:hAnsi="宋体" w:cs="宋体"/>
                <w:kern w:val="0"/>
                <w:sz w:val="18"/>
                <w:szCs w:val="18"/>
                <w:lang w:eastAsia="en-US"/>
              </w:rPr>
              <w:t>A02061808热水器</w:t>
            </w:r>
          </w:p>
        </w:tc>
        <w:tc>
          <w:tcPr>
            <w:tcW w:w="1621" w:type="dxa"/>
            <w:vAlign w:val="center"/>
          </w:tcPr>
          <w:p w14:paraId="26889137">
            <w:pPr>
              <w:rPr>
                <w:rFonts w:hint="eastAsia" w:ascii="宋体" w:hAnsi="宋体" w:cs="宋体"/>
                <w:kern w:val="0"/>
                <w:sz w:val="18"/>
                <w:szCs w:val="18"/>
                <w:lang w:eastAsia="en-US"/>
              </w:rPr>
            </w:pPr>
            <w:r>
              <w:rPr>
                <w:rFonts w:hint="eastAsia" w:ascii="宋体" w:hAnsi="宋体" w:cs="宋体"/>
                <w:kern w:val="0"/>
                <w:sz w:val="18"/>
                <w:szCs w:val="18"/>
                <w:lang w:eastAsia="en-US"/>
              </w:rPr>
              <w:t>★电热水器</w:t>
            </w:r>
          </w:p>
        </w:tc>
        <w:tc>
          <w:tcPr>
            <w:tcW w:w="4142" w:type="dxa"/>
            <w:vAlign w:val="center"/>
          </w:tcPr>
          <w:p w14:paraId="6037A7BF">
            <w:pPr>
              <w:tabs>
                <w:tab w:val="left" w:pos="1608"/>
              </w:tabs>
              <w:jc w:val="left"/>
              <w:rPr>
                <w:rFonts w:hint="eastAsia" w:ascii="宋体" w:hAnsi="宋体" w:cs="宋体"/>
                <w:kern w:val="0"/>
                <w:sz w:val="18"/>
                <w:szCs w:val="18"/>
              </w:rPr>
            </w:pPr>
            <w:r>
              <w:rPr>
                <w:rFonts w:hint="eastAsia" w:ascii="宋体" w:hAnsi="宋体" w:cs="宋体"/>
                <w:kern w:val="0"/>
                <w:sz w:val="18"/>
                <w:szCs w:val="18"/>
              </w:rPr>
              <w:t>《储水式电热水器能效限定值及能效等级》（GB21519）</w:t>
            </w:r>
          </w:p>
        </w:tc>
      </w:tr>
      <w:tr w14:paraId="6D64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3" w:hRule="exact"/>
          <w:jc w:val="center"/>
        </w:trPr>
        <w:tc>
          <w:tcPr>
            <w:tcW w:w="574" w:type="dxa"/>
            <w:vMerge w:val="continue"/>
            <w:vAlign w:val="center"/>
          </w:tcPr>
          <w:p w14:paraId="5DE2A22E">
            <w:pPr>
              <w:jc w:val="left"/>
              <w:rPr>
                <w:rFonts w:hint="eastAsia" w:ascii="宋体" w:hAnsi="宋体" w:cs="宋体"/>
                <w:kern w:val="0"/>
                <w:sz w:val="18"/>
                <w:szCs w:val="18"/>
              </w:rPr>
            </w:pPr>
          </w:p>
        </w:tc>
        <w:tc>
          <w:tcPr>
            <w:tcW w:w="1166" w:type="dxa"/>
            <w:vMerge w:val="continue"/>
            <w:vAlign w:val="center"/>
          </w:tcPr>
          <w:p w14:paraId="5A749507">
            <w:pPr>
              <w:jc w:val="left"/>
              <w:rPr>
                <w:rFonts w:hint="eastAsia" w:ascii="宋体" w:hAnsi="宋体" w:cs="宋体"/>
                <w:kern w:val="0"/>
                <w:sz w:val="18"/>
                <w:szCs w:val="18"/>
              </w:rPr>
            </w:pPr>
          </w:p>
        </w:tc>
        <w:tc>
          <w:tcPr>
            <w:tcW w:w="1800" w:type="dxa"/>
            <w:vMerge w:val="continue"/>
            <w:vAlign w:val="center"/>
          </w:tcPr>
          <w:p w14:paraId="458610F9">
            <w:pPr>
              <w:rPr>
                <w:rFonts w:hint="eastAsia" w:ascii="宋体" w:hAnsi="宋体" w:cs="宋体"/>
                <w:kern w:val="0"/>
                <w:sz w:val="18"/>
                <w:szCs w:val="18"/>
              </w:rPr>
            </w:pPr>
          </w:p>
        </w:tc>
        <w:tc>
          <w:tcPr>
            <w:tcW w:w="1621" w:type="dxa"/>
            <w:vAlign w:val="center"/>
          </w:tcPr>
          <w:p w14:paraId="4345FBB8">
            <w:pPr>
              <w:rPr>
                <w:rFonts w:hint="eastAsia" w:ascii="宋体" w:hAnsi="宋体" w:cs="宋体"/>
                <w:kern w:val="0"/>
                <w:sz w:val="18"/>
                <w:szCs w:val="18"/>
                <w:lang w:eastAsia="en-US"/>
              </w:rPr>
            </w:pPr>
            <w:r>
              <w:rPr>
                <w:rFonts w:hint="eastAsia" w:ascii="宋体" w:hAnsi="宋体" w:cs="宋体"/>
                <w:kern w:val="0"/>
                <w:sz w:val="18"/>
                <w:szCs w:val="18"/>
                <w:lang w:eastAsia="en-US"/>
              </w:rPr>
              <w:t>燃气热水器</w:t>
            </w:r>
          </w:p>
        </w:tc>
        <w:tc>
          <w:tcPr>
            <w:tcW w:w="4142" w:type="dxa"/>
            <w:vAlign w:val="center"/>
          </w:tcPr>
          <w:p w14:paraId="6ED6A4D2">
            <w:pPr>
              <w:jc w:val="left"/>
              <w:rPr>
                <w:rFonts w:hint="eastAsia" w:ascii="宋体" w:hAnsi="宋体" w:cs="宋体"/>
                <w:kern w:val="0"/>
                <w:sz w:val="18"/>
                <w:szCs w:val="18"/>
              </w:rPr>
            </w:pPr>
            <w:r>
              <w:rPr>
                <w:rFonts w:hint="eastAsia" w:ascii="宋体" w:hAnsi="宋体" w:cs="宋体"/>
                <w:kern w:val="0"/>
                <w:sz w:val="18"/>
                <w:szCs w:val="18"/>
              </w:rPr>
              <w:t>《家用燃气快速热水器和燃气采暖热水炉能效限定值及能效等级</w:t>
            </w:r>
          </w:p>
          <w:p w14:paraId="3B7E0A78">
            <w:pPr>
              <w:jc w:val="left"/>
              <w:rPr>
                <w:rFonts w:hint="eastAsia" w:ascii="宋体" w:hAnsi="宋体" w:cs="宋体"/>
                <w:kern w:val="0"/>
                <w:sz w:val="18"/>
                <w:szCs w:val="18"/>
                <w:lang w:eastAsia="en-US"/>
              </w:rPr>
            </w:pPr>
            <w:r>
              <w:rPr>
                <w:rFonts w:hint="eastAsia" w:ascii="宋体" w:hAnsi="宋体" w:cs="宋体"/>
                <w:kern w:val="0"/>
                <w:sz w:val="18"/>
                <w:szCs w:val="18"/>
                <w:lang w:eastAsia="en-US"/>
              </w:rPr>
              <w:t>（GB20665）</w:t>
            </w:r>
          </w:p>
        </w:tc>
      </w:tr>
      <w:tr w14:paraId="30BC8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574" w:type="dxa"/>
            <w:vMerge w:val="continue"/>
            <w:vAlign w:val="center"/>
          </w:tcPr>
          <w:p w14:paraId="419A36C1">
            <w:pPr>
              <w:jc w:val="left"/>
              <w:rPr>
                <w:rFonts w:hint="eastAsia" w:ascii="宋体" w:hAnsi="宋体" w:cs="宋体"/>
                <w:kern w:val="0"/>
                <w:sz w:val="18"/>
                <w:szCs w:val="18"/>
                <w:lang w:eastAsia="en-US"/>
              </w:rPr>
            </w:pPr>
          </w:p>
        </w:tc>
        <w:tc>
          <w:tcPr>
            <w:tcW w:w="1166" w:type="dxa"/>
            <w:vMerge w:val="continue"/>
            <w:vAlign w:val="center"/>
          </w:tcPr>
          <w:p w14:paraId="543374BC">
            <w:pPr>
              <w:jc w:val="left"/>
              <w:rPr>
                <w:rFonts w:hint="eastAsia" w:ascii="宋体" w:hAnsi="宋体" w:cs="宋体"/>
                <w:kern w:val="0"/>
                <w:sz w:val="18"/>
                <w:szCs w:val="18"/>
                <w:lang w:eastAsia="en-US"/>
              </w:rPr>
            </w:pPr>
          </w:p>
        </w:tc>
        <w:tc>
          <w:tcPr>
            <w:tcW w:w="1800" w:type="dxa"/>
            <w:vMerge w:val="continue"/>
            <w:vAlign w:val="center"/>
          </w:tcPr>
          <w:p w14:paraId="55123C58">
            <w:pPr>
              <w:rPr>
                <w:rFonts w:hint="eastAsia" w:ascii="宋体" w:hAnsi="宋体" w:cs="宋体"/>
                <w:kern w:val="0"/>
                <w:sz w:val="18"/>
                <w:szCs w:val="18"/>
                <w:lang w:eastAsia="en-US"/>
              </w:rPr>
            </w:pPr>
          </w:p>
        </w:tc>
        <w:tc>
          <w:tcPr>
            <w:tcW w:w="1621" w:type="dxa"/>
            <w:vAlign w:val="center"/>
          </w:tcPr>
          <w:p w14:paraId="37A1D2F6">
            <w:pPr>
              <w:rPr>
                <w:rFonts w:hint="eastAsia" w:ascii="宋体" w:hAnsi="宋体" w:cs="宋体"/>
                <w:kern w:val="0"/>
                <w:sz w:val="18"/>
                <w:szCs w:val="18"/>
                <w:lang w:eastAsia="en-US"/>
              </w:rPr>
            </w:pPr>
            <w:r>
              <w:rPr>
                <w:rFonts w:hint="eastAsia" w:ascii="宋体" w:hAnsi="宋体" w:cs="宋体"/>
                <w:kern w:val="0"/>
                <w:sz w:val="18"/>
                <w:szCs w:val="18"/>
                <w:lang w:eastAsia="en-US"/>
              </w:rPr>
              <w:t>热泵热水器</w:t>
            </w:r>
          </w:p>
        </w:tc>
        <w:tc>
          <w:tcPr>
            <w:tcW w:w="4142" w:type="dxa"/>
            <w:vAlign w:val="center"/>
          </w:tcPr>
          <w:p w14:paraId="5626FCC9">
            <w:pPr>
              <w:jc w:val="left"/>
              <w:rPr>
                <w:rFonts w:hint="eastAsia" w:ascii="宋体" w:hAnsi="宋体" w:cs="宋体"/>
                <w:kern w:val="0"/>
                <w:sz w:val="18"/>
                <w:szCs w:val="18"/>
              </w:rPr>
            </w:pPr>
            <w:r>
              <w:rPr>
                <w:rFonts w:hint="eastAsia" w:ascii="宋体" w:hAnsi="宋体" w:cs="宋体"/>
                <w:kern w:val="0"/>
                <w:sz w:val="18"/>
                <w:szCs w:val="18"/>
              </w:rPr>
              <w:t>《热泵热水机（器）能效限定值及能效等级》（GB29541）</w:t>
            </w:r>
          </w:p>
        </w:tc>
      </w:tr>
      <w:tr w14:paraId="3F6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574" w:type="dxa"/>
            <w:vMerge w:val="continue"/>
            <w:vAlign w:val="center"/>
          </w:tcPr>
          <w:p w14:paraId="4BA938F0">
            <w:pPr>
              <w:jc w:val="left"/>
              <w:rPr>
                <w:rFonts w:hint="eastAsia" w:ascii="宋体" w:hAnsi="宋体" w:cs="宋体"/>
                <w:kern w:val="0"/>
                <w:sz w:val="18"/>
                <w:szCs w:val="18"/>
              </w:rPr>
            </w:pPr>
          </w:p>
        </w:tc>
        <w:tc>
          <w:tcPr>
            <w:tcW w:w="1166" w:type="dxa"/>
            <w:vMerge w:val="continue"/>
            <w:vAlign w:val="center"/>
          </w:tcPr>
          <w:p w14:paraId="35FA2DAC">
            <w:pPr>
              <w:jc w:val="left"/>
              <w:rPr>
                <w:rFonts w:hint="eastAsia" w:ascii="宋体" w:hAnsi="宋体" w:cs="宋体"/>
                <w:kern w:val="0"/>
                <w:sz w:val="18"/>
                <w:szCs w:val="18"/>
              </w:rPr>
            </w:pPr>
          </w:p>
        </w:tc>
        <w:tc>
          <w:tcPr>
            <w:tcW w:w="1800" w:type="dxa"/>
            <w:vMerge w:val="continue"/>
            <w:vAlign w:val="center"/>
          </w:tcPr>
          <w:p w14:paraId="59B6FB32">
            <w:pPr>
              <w:rPr>
                <w:rFonts w:hint="eastAsia" w:ascii="宋体" w:hAnsi="宋体" w:cs="宋体"/>
                <w:kern w:val="0"/>
                <w:sz w:val="18"/>
                <w:szCs w:val="18"/>
              </w:rPr>
            </w:pPr>
          </w:p>
        </w:tc>
        <w:tc>
          <w:tcPr>
            <w:tcW w:w="1621" w:type="dxa"/>
            <w:vAlign w:val="center"/>
          </w:tcPr>
          <w:p w14:paraId="5BCF9397">
            <w:pPr>
              <w:rPr>
                <w:rFonts w:hint="eastAsia" w:ascii="宋体" w:hAnsi="宋体" w:cs="宋体"/>
                <w:kern w:val="0"/>
                <w:sz w:val="18"/>
                <w:szCs w:val="18"/>
                <w:lang w:eastAsia="en-US"/>
              </w:rPr>
            </w:pPr>
            <w:r>
              <w:rPr>
                <w:rFonts w:hint="eastAsia" w:ascii="宋体" w:hAnsi="宋体" w:cs="宋体"/>
                <w:kern w:val="0"/>
                <w:sz w:val="18"/>
                <w:szCs w:val="18"/>
                <w:lang w:eastAsia="en-US"/>
              </w:rPr>
              <w:t>太阳能热水系统</w:t>
            </w:r>
          </w:p>
        </w:tc>
        <w:tc>
          <w:tcPr>
            <w:tcW w:w="4142" w:type="dxa"/>
            <w:vAlign w:val="center"/>
          </w:tcPr>
          <w:p w14:paraId="455DED4F">
            <w:pPr>
              <w:jc w:val="left"/>
              <w:rPr>
                <w:rFonts w:hint="eastAsia" w:ascii="宋体" w:hAnsi="宋体" w:cs="宋体"/>
                <w:kern w:val="0"/>
                <w:sz w:val="18"/>
                <w:szCs w:val="18"/>
              </w:rPr>
            </w:pPr>
            <w:r>
              <w:rPr>
                <w:rFonts w:hint="eastAsia" w:ascii="宋体" w:hAnsi="宋体" w:cs="宋体"/>
                <w:kern w:val="0"/>
                <w:sz w:val="18"/>
                <w:szCs w:val="18"/>
              </w:rPr>
              <w:t>《家用太阳能热水系统能效限定值及能效等级》（GB26969）</w:t>
            </w:r>
          </w:p>
        </w:tc>
      </w:tr>
      <w:tr w14:paraId="50C7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574" w:type="dxa"/>
            <w:vMerge w:val="restart"/>
            <w:vAlign w:val="center"/>
          </w:tcPr>
          <w:p w14:paraId="3E9B48AF">
            <w:pPr>
              <w:jc w:val="center"/>
              <w:rPr>
                <w:rFonts w:hint="eastAsia" w:ascii="宋体" w:hAnsi="宋体" w:cs="宋体"/>
                <w:kern w:val="0"/>
                <w:sz w:val="18"/>
                <w:szCs w:val="18"/>
                <w:lang w:eastAsia="en-US"/>
              </w:rPr>
            </w:pPr>
            <w:r>
              <w:rPr>
                <w:rFonts w:ascii="宋体" w:hAnsi="宋体" w:cs="宋体"/>
                <w:kern w:val="0"/>
                <w:sz w:val="18"/>
                <w:szCs w:val="18"/>
                <w:lang w:eastAsia="en-US"/>
              </w:rPr>
              <w:t>11</w:t>
            </w:r>
          </w:p>
        </w:tc>
        <w:tc>
          <w:tcPr>
            <w:tcW w:w="1166" w:type="dxa"/>
            <w:vMerge w:val="restart"/>
            <w:vAlign w:val="center"/>
          </w:tcPr>
          <w:p w14:paraId="66404381">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A020619照明设备</w:t>
            </w:r>
          </w:p>
        </w:tc>
        <w:tc>
          <w:tcPr>
            <w:tcW w:w="1800" w:type="dxa"/>
            <w:vAlign w:val="center"/>
          </w:tcPr>
          <w:p w14:paraId="4A6A9536">
            <w:pPr>
              <w:jc w:val="left"/>
              <w:rPr>
                <w:rFonts w:hint="eastAsia" w:ascii="宋体" w:hAnsi="宋体" w:cs="宋体"/>
                <w:kern w:val="0"/>
                <w:sz w:val="18"/>
                <w:szCs w:val="18"/>
              </w:rPr>
            </w:pPr>
            <w:r>
              <w:rPr>
                <w:rFonts w:hint="eastAsia" w:ascii="宋体" w:hAnsi="宋体" w:cs="宋体"/>
                <w:kern w:val="0"/>
                <w:sz w:val="18"/>
                <w:szCs w:val="18"/>
              </w:rPr>
              <w:t>★普通照明用双端荧光灯</w:t>
            </w:r>
          </w:p>
        </w:tc>
        <w:tc>
          <w:tcPr>
            <w:tcW w:w="1621" w:type="dxa"/>
            <w:vAlign w:val="center"/>
          </w:tcPr>
          <w:p w14:paraId="75EB214A">
            <w:pPr>
              <w:rPr>
                <w:rFonts w:hint="eastAsia" w:ascii="宋体" w:hAnsi="宋体" w:cs="宋体"/>
                <w:kern w:val="0"/>
                <w:sz w:val="18"/>
                <w:szCs w:val="18"/>
              </w:rPr>
            </w:pPr>
          </w:p>
        </w:tc>
        <w:tc>
          <w:tcPr>
            <w:tcW w:w="4142" w:type="dxa"/>
            <w:vAlign w:val="center"/>
          </w:tcPr>
          <w:p w14:paraId="58690A91">
            <w:pPr>
              <w:jc w:val="left"/>
              <w:rPr>
                <w:rFonts w:hint="eastAsia" w:ascii="宋体" w:hAnsi="宋体" w:cs="宋体"/>
                <w:kern w:val="0"/>
                <w:sz w:val="18"/>
                <w:szCs w:val="18"/>
              </w:rPr>
            </w:pPr>
            <w:r>
              <w:rPr>
                <w:rFonts w:hint="eastAsia" w:ascii="宋体" w:hAnsi="宋体" w:cs="宋体"/>
                <w:kern w:val="0"/>
                <w:sz w:val="18"/>
                <w:szCs w:val="18"/>
              </w:rPr>
              <w:t>《普通照明用双端荧光灯能效限定值及能效等级》（GB19043）</w:t>
            </w:r>
          </w:p>
        </w:tc>
      </w:tr>
      <w:tr w14:paraId="5BFA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exact"/>
          <w:jc w:val="center"/>
        </w:trPr>
        <w:tc>
          <w:tcPr>
            <w:tcW w:w="574" w:type="dxa"/>
            <w:vMerge w:val="continue"/>
            <w:vAlign w:val="center"/>
          </w:tcPr>
          <w:p w14:paraId="09A50809">
            <w:pPr>
              <w:jc w:val="center"/>
              <w:rPr>
                <w:rFonts w:hint="eastAsia" w:ascii="宋体" w:hAnsi="宋体" w:cs="宋体"/>
                <w:kern w:val="0"/>
                <w:sz w:val="18"/>
                <w:szCs w:val="18"/>
              </w:rPr>
            </w:pPr>
          </w:p>
        </w:tc>
        <w:tc>
          <w:tcPr>
            <w:tcW w:w="1166" w:type="dxa"/>
            <w:vMerge w:val="continue"/>
            <w:vAlign w:val="center"/>
          </w:tcPr>
          <w:p w14:paraId="1B320648">
            <w:pPr>
              <w:jc w:val="left"/>
              <w:rPr>
                <w:rFonts w:hint="eastAsia" w:ascii="宋体" w:hAnsi="宋体" w:cs="宋体"/>
                <w:kern w:val="0"/>
                <w:sz w:val="18"/>
                <w:szCs w:val="18"/>
              </w:rPr>
            </w:pPr>
          </w:p>
        </w:tc>
        <w:tc>
          <w:tcPr>
            <w:tcW w:w="1800" w:type="dxa"/>
            <w:vAlign w:val="center"/>
          </w:tcPr>
          <w:p w14:paraId="6927B6CB">
            <w:pPr>
              <w:jc w:val="left"/>
              <w:rPr>
                <w:rFonts w:hint="eastAsia" w:ascii="宋体" w:hAnsi="宋体" w:cs="宋体"/>
                <w:kern w:val="0"/>
                <w:sz w:val="18"/>
                <w:szCs w:val="18"/>
                <w:lang w:eastAsia="en-US"/>
              </w:rPr>
            </w:pPr>
            <w:r>
              <w:rPr>
                <w:rFonts w:hint="eastAsia" w:ascii="宋体" w:hAnsi="宋体" w:cs="宋体"/>
                <w:kern w:val="0"/>
                <w:sz w:val="18"/>
                <w:szCs w:val="18"/>
                <w:lang w:eastAsia="en-US"/>
              </w:rPr>
              <w:t>LED道路/隧道照明产品</w:t>
            </w:r>
          </w:p>
        </w:tc>
        <w:tc>
          <w:tcPr>
            <w:tcW w:w="1621" w:type="dxa"/>
            <w:vAlign w:val="center"/>
          </w:tcPr>
          <w:p w14:paraId="339C8441">
            <w:pPr>
              <w:rPr>
                <w:rFonts w:hint="eastAsia" w:ascii="宋体" w:hAnsi="宋体" w:cs="宋体"/>
                <w:kern w:val="0"/>
                <w:sz w:val="18"/>
                <w:szCs w:val="18"/>
                <w:lang w:eastAsia="en-US"/>
              </w:rPr>
            </w:pPr>
          </w:p>
        </w:tc>
        <w:tc>
          <w:tcPr>
            <w:tcW w:w="4142" w:type="dxa"/>
            <w:vAlign w:val="center"/>
          </w:tcPr>
          <w:p w14:paraId="168A8AC8">
            <w:pPr>
              <w:jc w:val="left"/>
              <w:rPr>
                <w:rFonts w:hint="eastAsia" w:ascii="宋体" w:hAnsi="宋体" w:cs="宋体"/>
                <w:kern w:val="0"/>
                <w:sz w:val="18"/>
                <w:szCs w:val="18"/>
              </w:rPr>
            </w:pPr>
            <w:r>
              <w:rPr>
                <w:rFonts w:hint="eastAsia" w:ascii="宋体" w:hAnsi="宋体" w:cs="宋体"/>
                <w:kern w:val="0"/>
                <w:sz w:val="18"/>
                <w:szCs w:val="18"/>
              </w:rPr>
              <w:t>《道路和隧道照明用LED灯具能效限定值及能效等级》（GB37478</w:t>
            </w:r>
            <w:r>
              <w:rPr>
                <w:rFonts w:ascii="宋体" w:hAnsi="宋体" w:cs="宋体"/>
                <w:kern w:val="0"/>
                <w:sz w:val="18"/>
                <w:szCs w:val="18"/>
              </w:rPr>
              <w:t>）</w:t>
            </w:r>
          </w:p>
        </w:tc>
      </w:tr>
      <w:tr w14:paraId="1EC9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exact"/>
          <w:jc w:val="center"/>
        </w:trPr>
        <w:tc>
          <w:tcPr>
            <w:tcW w:w="574" w:type="dxa"/>
            <w:vMerge w:val="continue"/>
            <w:vAlign w:val="center"/>
          </w:tcPr>
          <w:p w14:paraId="40A2F5F0">
            <w:pPr>
              <w:jc w:val="center"/>
              <w:rPr>
                <w:rFonts w:hint="eastAsia" w:ascii="宋体" w:hAnsi="宋体" w:cs="宋体"/>
                <w:kern w:val="0"/>
                <w:sz w:val="18"/>
                <w:szCs w:val="18"/>
              </w:rPr>
            </w:pPr>
          </w:p>
        </w:tc>
        <w:tc>
          <w:tcPr>
            <w:tcW w:w="1166" w:type="dxa"/>
            <w:vMerge w:val="continue"/>
            <w:vAlign w:val="center"/>
          </w:tcPr>
          <w:p w14:paraId="46C1C30A">
            <w:pPr>
              <w:jc w:val="left"/>
              <w:rPr>
                <w:rFonts w:hint="eastAsia" w:ascii="宋体" w:hAnsi="宋体" w:cs="宋体"/>
                <w:kern w:val="0"/>
                <w:sz w:val="18"/>
                <w:szCs w:val="18"/>
              </w:rPr>
            </w:pPr>
          </w:p>
        </w:tc>
        <w:tc>
          <w:tcPr>
            <w:tcW w:w="1800" w:type="dxa"/>
            <w:vAlign w:val="center"/>
          </w:tcPr>
          <w:p w14:paraId="12644215">
            <w:pPr>
              <w:jc w:val="left"/>
              <w:rPr>
                <w:rFonts w:hint="eastAsia" w:ascii="宋体" w:hAnsi="宋体" w:cs="宋体"/>
                <w:kern w:val="0"/>
                <w:sz w:val="18"/>
                <w:szCs w:val="18"/>
                <w:lang w:eastAsia="en-US"/>
              </w:rPr>
            </w:pPr>
            <w:r>
              <w:rPr>
                <w:rFonts w:hint="eastAsia" w:ascii="宋体" w:hAnsi="宋体" w:cs="宋体"/>
                <w:kern w:val="0"/>
                <w:sz w:val="18"/>
                <w:szCs w:val="18"/>
                <w:lang w:eastAsia="en-US"/>
              </w:rPr>
              <w:t>LED筒灯</w:t>
            </w:r>
          </w:p>
        </w:tc>
        <w:tc>
          <w:tcPr>
            <w:tcW w:w="1621" w:type="dxa"/>
            <w:vAlign w:val="center"/>
          </w:tcPr>
          <w:p w14:paraId="2B47E53D">
            <w:pPr>
              <w:rPr>
                <w:rFonts w:hint="eastAsia" w:ascii="宋体" w:hAnsi="宋体" w:cs="宋体"/>
                <w:kern w:val="0"/>
                <w:sz w:val="18"/>
                <w:szCs w:val="18"/>
                <w:lang w:eastAsia="en-US"/>
              </w:rPr>
            </w:pPr>
          </w:p>
        </w:tc>
        <w:tc>
          <w:tcPr>
            <w:tcW w:w="4142" w:type="dxa"/>
            <w:vAlign w:val="center"/>
          </w:tcPr>
          <w:p w14:paraId="00322530">
            <w:pPr>
              <w:jc w:val="left"/>
              <w:rPr>
                <w:rFonts w:hint="eastAsia" w:ascii="宋体" w:hAnsi="宋体" w:cs="宋体"/>
                <w:kern w:val="0"/>
                <w:sz w:val="18"/>
                <w:szCs w:val="18"/>
              </w:rPr>
            </w:pPr>
            <w:r>
              <w:rPr>
                <w:rFonts w:hint="eastAsia" w:ascii="宋体" w:hAnsi="宋体" w:cs="宋体"/>
                <w:kern w:val="0"/>
                <w:sz w:val="18"/>
                <w:szCs w:val="18"/>
              </w:rPr>
              <w:t>《室内照明用LED产品能效限定值及能效等级》（GB30255）</w:t>
            </w:r>
          </w:p>
        </w:tc>
      </w:tr>
      <w:tr w14:paraId="6A2DF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exact"/>
          <w:jc w:val="center"/>
        </w:trPr>
        <w:tc>
          <w:tcPr>
            <w:tcW w:w="574" w:type="dxa"/>
            <w:vMerge w:val="continue"/>
            <w:vAlign w:val="center"/>
          </w:tcPr>
          <w:p w14:paraId="2CE64433">
            <w:pPr>
              <w:jc w:val="center"/>
              <w:rPr>
                <w:rFonts w:hint="eastAsia" w:ascii="宋体" w:hAnsi="宋体" w:cs="宋体"/>
                <w:kern w:val="0"/>
                <w:sz w:val="18"/>
                <w:szCs w:val="18"/>
              </w:rPr>
            </w:pPr>
          </w:p>
        </w:tc>
        <w:tc>
          <w:tcPr>
            <w:tcW w:w="1166" w:type="dxa"/>
            <w:vMerge w:val="continue"/>
            <w:vAlign w:val="center"/>
          </w:tcPr>
          <w:p w14:paraId="18D32A6D">
            <w:pPr>
              <w:jc w:val="left"/>
              <w:rPr>
                <w:rFonts w:hint="eastAsia" w:ascii="宋体" w:hAnsi="宋体" w:cs="宋体"/>
                <w:kern w:val="0"/>
                <w:sz w:val="18"/>
                <w:szCs w:val="18"/>
              </w:rPr>
            </w:pPr>
          </w:p>
        </w:tc>
        <w:tc>
          <w:tcPr>
            <w:tcW w:w="1800" w:type="dxa"/>
            <w:vAlign w:val="center"/>
          </w:tcPr>
          <w:p w14:paraId="780F5F87">
            <w:pPr>
              <w:jc w:val="left"/>
              <w:rPr>
                <w:rFonts w:hint="eastAsia" w:ascii="宋体" w:hAnsi="宋体" w:cs="宋体"/>
                <w:kern w:val="0"/>
                <w:sz w:val="18"/>
                <w:szCs w:val="18"/>
              </w:rPr>
            </w:pPr>
            <w:r>
              <w:rPr>
                <w:rFonts w:hint="eastAsia" w:ascii="宋体" w:hAnsi="宋体" w:cs="宋体"/>
                <w:kern w:val="0"/>
                <w:sz w:val="18"/>
                <w:szCs w:val="18"/>
              </w:rPr>
              <w:t>普通照明用非定向自镇流LED灯</w:t>
            </w:r>
          </w:p>
        </w:tc>
        <w:tc>
          <w:tcPr>
            <w:tcW w:w="1621" w:type="dxa"/>
            <w:vAlign w:val="center"/>
          </w:tcPr>
          <w:p w14:paraId="00D0A646">
            <w:pPr>
              <w:rPr>
                <w:rFonts w:hint="eastAsia" w:ascii="宋体" w:hAnsi="宋体" w:cs="宋体"/>
                <w:kern w:val="0"/>
                <w:sz w:val="18"/>
                <w:szCs w:val="18"/>
              </w:rPr>
            </w:pPr>
          </w:p>
        </w:tc>
        <w:tc>
          <w:tcPr>
            <w:tcW w:w="4142" w:type="dxa"/>
            <w:vAlign w:val="center"/>
          </w:tcPr>
          <w:p w14:paraId="5F877204">
            <w:pPr>
              <w:jc w:val="left"/>
              <w:rPr>
                <w:rFonts w:hint="eastAsia" w:ascii="宋体" w:hAnsi="宋体" w:cs="宋体"/>
                <w:kern w:val="0"/>
                <w:sz w:val="18"/>
                <w:szCs w:val="18"/>
              </w:rPr>
            </w:pPr>
            <w:r>
              <w:rPr>
                <w:rFonts w:hint="eastAsia" w:ascii="宋体" w:hAnsi="宋体" w:cs="宋体"/>
                <w:kern w:val="0"/>
                <w:sz w:val="18"/>
                <w:szCs w:val="18"/>
              </w:rPr>
              <w:t>《室内照明用LED产品能效限定值及能效等级》（GB30255）</w:t>
            </w:r>
          </w:p>
        </w:tc>
      </w:tr>
      <w:tr w14:paraId="7619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574" w:type="dxa"/>
            <w:vAlign w:val="center"/>
          </w:tcPr>
          <w:p w14:paraId="7FB15F4C">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12</w:t>
            </w:r>
          </w:p>
        </w:tc>
        <w:tc>
          <w:tcPr>
            <w:tcW w:w="1157" w:type="dxa"/>
            <w:vAlign w:val="center"/>
          </w:tcPr>
          <w:p w14:paraId="52A1DF78">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★A020910电视设备</w:t>
            </w:r>
          </w:p>
        </w:tc>
        <w:tc>
          <w:tcPr>
            <w:tcW w:w="1809" w:type="dxa"/>
            <w:vAlign w:val="center"/>
          </w:tcPr>
          <w:p w14:paraId="2706D7FC">
            <w:pPr>
              <w:jc w:val="left"/>
              <w:rPr>
                <w:rFonts w:hint="eastAsia" w:ascii="宋体" w:hAnsi="宋体" w:cs="宋体"/>
                <w:kern w:val="0"/>
                <w:sz w:val="18"/>
                <w:szCs w:val="18"/>
              </w:rPr>
            </w:pPr>
            <w:r>
              <w:rPr>
                <w:rFonts w:hint="eastAsia" w:ascii="宋体" w:hAnsi="宋体" w:cs="宋体"/>
                <w:kern w:val="0"/>
                <w:sz w:val="18"/>
                <w:szCs w:val="18"/>
              </w:rPr>
              <w:t>A02091001普通电视设备（电视机）</w:t>
            </w:r>
          </w:p>
        </w:tc>
        <w:tc>
          <w:tcPr>
            <w:tcW w:w="1621" w:type="dxa"/>
            <w:vAlign w:val="center"/>
          </w:tcPr>
          <w:p w14:paraId="4C98ACC6">
            <w:pPr>
              <w:jc w:val="left"/>
              <w:rPr>
                <w:rFonts w:hint="eastAsia" w:ascii="宋体" w:hAnsi="宋体" w:cs="宋体"/>
                <w:kern w:val="0"/>
                <w:sz w:val="18"/>
                <w:szCs w:val="18"/>
              </w:rPr>
            </w:pPr>
          </w:p>
        </w:tc>
        <w:tc>
          <w:tcPr>
            <w:tcW w:w="4155" w:type="dxa"/>
            <w:vAlign w:val="center"/>
          </w:tcPr>
          <w:p w14:paraId="1828F3AF">
            <w:pPr>
              <w:jc w:val="left"/>
              <w:rPr>
                <w:rFonts w:hint="eastAsia" w:ascii="宋体" w:hAnsi="宋体" w:cs="宋体"/>
                <w:kern w:val="0"/>
                <w:sz w:val="18"/>
                <w:szCs w:val="18"/>
              </w:rPr>
            </w:pPr>
            <w:r>
              <w:rPr>
                <w:rFonts w:hint="eastAsia" w:ascii="宋体" w:hAnsi="宋体" w:cs="宋体"/>
                <w:kern w:val="0"/>
                <w:sz w:val="18"/>
                <w:szCs w:val="18"/>
              </w:rPr>
              <w:t>《平板电视能效限定值及能效等级》（GB24850）</w:t>
            </w:r>
          </w:p>
        </w:tc>
      </w:tr>
      <w:tr w14:paraId="5376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 w:hRule="atLeast"/>
          <w:jc w:val="center"/>
        </w:trPr>
        <w:tc>
          <w:tcPr>
            <w:tcW w:w="574" w:type="dxa"/>
            <w:vAlign w:val="center"/>
          </w:tcPr>
          <w:p w14:paraId="439A9E1B">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13</w:t>
            </w:r>
          </w:p>
        </w:tc>
        <w:tc>
          <w:tcPr>
            <w:tcW w:w="1157" w:type="dxa"/>
            <w:vAlign w:val="center"/>
          </w:tcPr>
          <w:p w14:paraId="1DB04668">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★A020911视频设备</w:t>
            </w:r>
          </w:p>
        </w:tc>
        <w:tc>
          <w:tcPr>
            <w:tcW w:w="1809" w:type="dxa"/>
            <w:vAlign w:val="center"/>
          </w:tcPr>
          <w:p w14:paraId="0E89BA08">
            <w:pPr>
              <w:jc w:val="left"/>
              <w:rPr>
                <w:rFonts w:hint="eastAsia" w:ascii="宋体" w:hAnsi="宋体" w:cs="宋体"/>
                <w:kern w:val="0"/>
                <w:sz w:val="18"/>
                <w:szCs w:val="18"/>
                <w:lang w:eastAsia="en-US"/>
              </w:rPr>
            </w:pPr>
            <w:r>
              <w:rPr>
                <w:rFonts w:hint="eastAsia" w:ascii="宋体" w:hAnsi="宋体" w:cs="宋体"/>
                <w:kern w:val="0"/>
                <w:sz w:val="18"/>
                <w:szCs w:val="18"/>
                <w:lang w:eastAsia="en-US"/>
              </w:rPr>
              <w:t>A02091107视频监控设备</w:t>
            </w:r>
          </w:p>
        </w:tc>
        <w:tc>
          <w:tcPr>
            <w:tcW w:w="1621" w:type="dxa"/>
            <w:vAlign w:val="center"/>
          </w:tcPr>
          <w:p w14:paraId="54B28BDD">
            <w:pPr>
              <w:jc w:val="left"/>
              <w:rPr>
                <w:rFonts w:hint="eastAsia" w:ascii="宋体" w:hAnsi="宋体" w:cs="宋体"/>
                <w:kern w:val="0"/>
                <w:sz w:val="18"/>
                <w:szCs w:val="18"/>
                <w:lang w:eastAsia="en-US"/>
              </w:rPr>
            </w:pPr>
            <w:r>
              <w:rPr>
                <w:rFonts w:hint="eastAsia" w:ascii="宋体" w:hAnsi="宋体" w:cs="宋体"/>
                <w:kern w:val="0"/>
                <w:sz w:val="18"/>
                <w:szCs w:val="18"/>
                <w:lang w:eastAsia="en-US"/>
              </w:rPr>
              <w:t>监视器</w:t>
            </w:r>
          </w:p>
        </w:tc>
        <w:tc>
          <w:tcPr>
            <w:tcW w:w="4155" w:type="dxa"/>
            <w:vAlign w:val="center"/>
          </w:tcPr>
          <w:p w14:paraId="60AC77A6">
            <w:pPr>
              <w:jc w:val="left"/>
              <w:rPr>
                <w:rFonts w:hint="eastAsia" w:ascii="宋体" w:hAnsi="宋体" w:cs="宋体"/>
                <w:kern w:val="0"/>
                <w:sz w:val="18"/>
                <w:szCs w:val="18"/>
              </w:rPr>
            </w:pPr>
            <w:r>
              <w:rPr>
                <w:rFonts w:hint="eastAsia" w:ascii="宋体" w:hAnsi="宋体" w:cs="宋体"/>
                <w:kern w:val="0"/>
                <w:sz w:val="18"/>
                <w:szCs w:val="18"/>
              </w:rPr>
              <w:t>以射频信号为主要信号输入的监视器应符合《平板电视能效限定值及能效等级》（GB24850），以数字信号为主要信号输入的监视器应符合《计算机显示器能效限定值及能效等级》（GB21520）</w:t>
            </w:r>
          </w:p>
        </w:tc>
      </w:tr>
      <w:tr w14:paraId="33AEF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exact"/>
          <w:jc w:val="center"/>
        </w:trPr>
        <w:tc>
          <w:tcPr>
            <w:tcW w:w="574" w:type="dxa"/>
            <w:vAlign w:val="center"/>
          </w:tcPr>
          <w:p w14:paraId="15FD9A3D">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14</w:t>
            </w:r>
          </w:p>
        </w:tc>
        <w:tc>
          <w:tcPr>
            <w:tcW w:w="1157" w:type="dxa"/>
            <w:vAlign w:val="center"/>
          </w:tcPr>
          <w:p w14:paraId="3D12C0A5">
            <w:pPr>
              <w:jc w:val="left"/>
              <w:rPr>
                <w:rFonts w:hint="eastAsia" w:ascii="宋体" w:hAnsi="宋体" w:cs="宋体"/>
                <w:kern w:val="0"/>
                <w:sz w:val="18"/>
                <w:szCs w:val="18"/>
                <w:lang w:eastAsia="en-US"/>
              </w:rPr>
            </w:pPr>
            <w:r>
              <w:rPr>
                <w:rFonts w:hint="eastAsia" w:ascii="宋体" w:hAnsi="宋体" w:cs="宋体"/>
                <w:kern w:val="0"/>
                <w:sz w:val="18"/>
                <w:szCs w:val="18"/>
                <w:lang w:eastAsia="en-US"/>
              </w:rPr>
              <w:t>A031210饮食</w:t>
            </w:r>
          </w:p>
          <w:p w14:paraId="13755369">
            <w:pPr>
              <w:jc w:val="left"/>
              <w:rPr>
                <w:rFonts w:hint="eastAsia" w:ascii="宋体" w:hAnsi="宋体" w:cs="宋体"/>
                <w:kern w:val="0"/>
                <w:sz w:val="18"/>
                <w:szCs w:val="18"/>
                <w:lang w:eastAsia="en-US"/>
              </w:rPr>
            </w:pPr>
            <w:r>
              <w:rPr>
                <w:rFonts w:hint="eastAsia" w:ascii="宋体" w:hAnsi="宋体" w:cs="宋体"/>
                <w:kern w:val="0"/>
                <w:sz w:val="18"/>
                <w:szCs w:val="18"/>
                <w:lang w:eastAsia="en-US"/>
              </w:rPr>
              <w:t>炊事机械</w:t>
            </w:r>
          </w:p>
        </w:tc>
        <w:tc>
          <w:tcPr>
            <w:tcW w:w="1809" w:type="dxa"/>
            <w:vAlign w:val="center"/>
          </w:tcPr>
          <w:p w14:paraId="170D91FA">
            <w:pPr>
              <w:jc w:val="left"/>
              <w:rPr>
                <w:rFonts w:hint="eastAsia" w:ascii="宋体" w:hAnsi="宋体" w:cs="宋体"/>
                <w:kern w:val="0"/>
                <w:sz w:val="18"/>
                <w:szCs w:val="18"/>
                <w:lang w:eastAsia="en-US"/>
              </w:rPr>
            </w:pPr>
            <w:r>
              <w:rPr>
                <w:rFonts w:hint="eastAsia" w:ascii="宋体" w:hAnsi="宋体" w:cs="宋体"/>
                <w:kern w:val="0"/>
                <w:sz w:val="18"/>
                <w:szCs w:val="18"/>
                <w:lang w:eastAsia="en-US"/>
              </w:rPr>
              <w:t>商用燃气灶具</w:t>
            </w:r>
          </w:p>
        </w:tc>
        <w:tc>
          <w:tcPr>
            <w:tcW w:w="1621" w:type="dxa"/>
            <w:vAlign w:val="center"/>
          </w:tcPr>
          <w:p w14:paraId="7EA5EB73">
            <w:pPr>
              <w:jc w:val="left"/>
              <w:rPr>
                <w:rFonts w:hint="eastAsia" w:ascii="宋体" w:hAnsi="宋体" w:cs="宋体"/>
                <w:kern w:val="0"/>
                <w:sz w:val="18"/>
                <w:szCs w:val="18"/>
                <w:lang w:eastAsia="en-US"/>
              </w:rPr>
            </w:pPr>
          </w:p>
        </w:tc>
        <w:tc>
          <w:tcPr>
            <w:tcW w:w="4155" w:type="dxa"/>
            <w:vAlign w:val="center"/>
          </w:tcPr>
          <w:p w14:paraId="3E468D7E">
            <w:pPr>
              <w:jc w:val="left"/>
              <w:rPr>
                <w:rFonts w:hint="eastAsia" w:ascii="宋体" w:hAnsi="宋体" w:cs="宋体"/>
                <w:kern w:val="0"/>
                <w:sz w:val="18"/>
                <w:szCs w:val="18"/>
              </w:rPr>
            </w:pPr>
            <w:r>
              <w:rPr>
                <w:rFonts w:hint="eastAsia" w:ascii="宋体" w:hAnsi="宋体" w:cs="宋体"/>
                <w:kern w:val="0"/>
                <w:sz w:val="18"/>
                <w:szCs w:val="18"/>
              </w:rPr>
              <w:t>《商用燃气灶具能效限定值及能效等级》（GB30531）</w:t>
            </w:r>
          </w:p>
        </w:tc>
      </w:tr>
      <w:tr w14:paraId="1B371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74" w:type="dxa"/>
            <w:vMerge w:val="restart"/>
            <w:vAlign w:val="center"/>
          </w:tcPr>
          <w:p w14:paraId="5A74F680">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15</w:t>
            </w:r>
          </w:p>
        </w:tc>
        <w:tc>
          <w:tcPr>
            <w:tcW w:w="1157" w:type="dxa"/>
            <w:vMerge w:val="restart"/>
            <w:vAlign w:val="center"/>
          </w:tcPr>
          <w:p w14:paraId="54215FE5">
            <w:pPr>
              <w:jc w:val="left"/>
              <w:rPr>
                <w:rFonts w:hint="eastAsia" w:ascii="宋体" w:hAnsi="宋体" w:cs="宋体"/>
                <w:kern w:val="0"/>
                <w:sz w:val="18"/>
                <w:szCs w:val="18"/>
                <w:lang w:eastAsia="en-US"/>
              </w:rPr>
            </w:pPr>
            <w:r>
              <w:rPr>
                <w:rFonts w:hint="eastAsia" w:ascii="宋体" w:hAnsi="宋体" w:cs="宋体"/>
                <w:kern w:val="0"/>
                <w:sz w:val="18"/>
                <w:szCs w:val="18"/>
                <w:lang w:eastAsia="en-US"/>
              </w:rPr>
              <w:t>★A060805便器</w:t>
            </w:r>
          </w:p>
        </w:tc>
        <w:tc>
          <w:tcPr>
            <w:tcW w:w="1809" w:type="dxa"/>
            <w:vAlign w:val="center"/>
          </w:tcPr>
          <w:p w14:paraId="1F68B467">
            <w:pPr>
              <w:jc w:val="left"/>
              <w:rPr>
                <w:rFonts w:hint="eastAsia" w:ascii="宋体" w:hAnsi="宋体" w:cs="宋体"/>
                <w:kern w:val="0"/>
                <w:sz w:val="18"/>
                <w:szCs w:val="18"/>
                <w:lang w:eastAsia="en-US"/>
              </w:rPr>
            </w:pPr>
            <w:r>
              <w:rPr>
                <w:rFonts w:hint="eastAsia" w:ascii="宋体" w:hAnsi="宋体" w:cs="宋体"/>
                <w:kern w:val="0"/>
                <w:sz w:val="18"/>
                <w:szCs w:val="18"/>
                <w:lang w:eastAsia="en-US"/>
              </w:rPr>
              <w:t>坐便器</w:t>
            </w:r>
          </w:p>
        </w:tc>
        <w:tc>
          <w:tcPr>
            <w:tcW w:w="1621" w:type="dxa"/>
            <w:vAlign w:val="center"/>
          </w:tcPr>
          <w:p w14:paraId="0EDD8F97">
            <w:pPr>
              <w:jc w:val="left"/>
              <w:rPr>
                <w:rFonts w:hint="eastAsia" w:ascii="宋体" w:hAnsi="宋体" w:cs="宋体"/>
                <w:kern w:val="0"/>
                <w:sz w:val="18"/>
                <w:szCs w:val="18"/>
                <w:lang w:eastAsia="en-US"/>
              </w:rPr>
            </w:pPr>
          </w:p>
        </w:tc>
        <w:tc>
          <w:tcPr>
            <w:tcW w:w="4155" w:type="dxa"/>
            <w:vAlign w:val="center"/>
          </w:tcPr>
          <w:p w14:paraId="64DA41DC">
            <w:pPr>
              <w:jc w:val="left"/>
              <w:rPr>
                <w:rFonts w:hint="eastAsia" w:ascii="宋体" w:hAnsi="宋体" w:cs="宋体"/>
                <w:kern w:val="0"/>
                <w:sz w:val="18"/>
                <w:szCs w:val="18"/>
              </w:rPr>
            </w:pPr>
            <w:r>
              <w:rPr>
                <w:rFonts w:hint="eastAsia" w:ascii="宋体" w:hAnsi="宋体" w:cs="宋体"/>
                <w:kern w:val="0"/>
                <w:sz w:val="18"/>
                <w:szCs w:val="18"/>
              </w:rPr>
              <w:t>《坐便器水效限定值及水效等级</w:t>
            </w:r>
          </w:p>
          <w:p w14:paraId="241D82FE">
            <w:pPr>
              <w:jc w:val="left"/>
              <w:rPr>
                <w:rFonts w:hint="eastAsia" w:ascii="宋体" w:hAnsi="宋体" w:cs="宋体"/>
                <w:kern w:val="0"/>
                <w:sz w:val="18"/>
                <w:szCs w:val="18"/>
                <w:lang w:eastAsia="en-US"/>
              </w:rPr>
            </w:pPr>
            <w:r>
              <w:rPr>
                <w:rFonts w:hint="eastAsia" w:ascii="宋体" w:hAnsi="宋体" w:cs="宋体"/>
                <w:kern w:val="0"/>
                <w:sz w:val="18"/>
                <w:szCs w:val="18"/>
                <w:lang w:eastAsia="en-US"/>
              </w:rPr>
              <w:t>（GB25502）</w:t>
            </w:r>
          </w:p>
        </w:tc>
      </w:tr>
      <w:tr w14:paraId="1ADA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jc w:val="center"/>
        </w:trPr>
        <w:tc>
          <w:tcPr>
            <w:tcW w:w="574" w:type="dxa"/>
            <w:vMerge w:val="continue"/>
            <w:vAlign w:val="center"/>
          </w:tcPr>
          <w:p w14:paraId="2C772976">
            <w:pPr>
              <w:jc w:val="center"/>
              <w:rPr>
                <w:rFonts w:hint="eastAsia" w:ascii="宋体" w:hAnsi="宋体" w:cs="宋体"/>
                <w:kern w:val="0"/>
                <w:sz w:val="18"/>
                <w:szCs w:val="18"/>
                <w:lang w:eastAsia="en-US"/>
              </w:rPr>
            </w:pPr>
          </w:p>
        </w:tc>
        <w:tc>
          <w:tcPr>
            <w:tcW w:w="1157" w:type="dxa"/>
            <w:vMerge w:val="continue"/>
            <w:vAlign w:val="center"/>
          </w:tcPr>
          <w:p w14:paraId="727E5427">
            <w:pPr>
              <w:jc w:val="left"/>
              <w:rPr>
                <w:rFonts w:hint="eastAsia" w:ascii="宋体" w:hAnsi="宋体" w:cs="宋体"/>
                <w:kern w:val="0"/>
                <w:sz w:val="18"/>
                <w:szCs w:val="18"/>
                <w:lang w:eastAsia="en-US"/>
              </w:rPr>
            </w:pPr>
          </w:p>
        </w:tc>
        <w:tc>
          <w:tcPr>
            <w:tcW w:w="1809" w:type="dxa"/>
            <w:vAlign w:val="center"/>
          </w:tcPr>
          <w:p w14:paraId="736F5686">
            <w:pPr>
              <w:jc w:val="left"/>
              <w:rPr>
                <w:rFonts w:hint="eastAsia" w:ascii="宋体" w:hAnsi="宋体" w:cs="宋体"/>
                <w:kern w:val="0"/>
                <w:sz w:val="18"/>
                <w:szCs w:val="18"/>
                <w:lang w:eastAsia="en-US"/>
              </w:rPr>
            </w:pPr>
            <w:r>
              <w:rPr>
                <w:rFonts w:hint="eastAsia" w:ascii="宋体" w:hAnsi="宋体" w:cs="宋体"/>
                <w:kern w:val="0"/>
                <w:sz w:val="18"/>
                <w:szCs w:val="18"/>
                <w:lang w:eastAsia="en-US"/>
              </w:rPr>
              <w:t>蹲便器</w:t>
            </w:r>
          </w:p>
        </w:tc>
        <w:tc>
          <w:tcPr>
            <w:tcW w:w="1621" w:type="dxa"/>
            <w:vAlign w:val="center"/>
          </w:tcPr>
          <w:p w14:paraId="11574459">
            <w:pPr>
              <w:jc w:val="left"/>
              <w:rPr>
                <w:rFonts w:hint="eastAsia" w:ascii="宋体" w:hAnsi="宋体" w:cs="宋体"/>
                <w:kern w:val="0"/>
                <w:sz w:val="18"/>
                <w:szCs w:val="18"/>
                <w:lang w:eastAsia="en-US"/>
              </w:rPr>
            </w:pPr>
          </w:p>
        </w:tc>
        <w:tc>
          <w:tcPr>
            <w:tcW w:w="4155" w:type="dxa"/>
            <w:vAlign w:val="center"/>
          </w:tcPr>
          <w:p w14:paraId="5BE5D2F0">
            <w:pPr>
              <w:jc w:val="left"/>
              <w:rPr>
                <w:rFonts w:hint="eastAsia" w:ascii="宋体" w:hAnsi="宋体" w:cs="宋体"/>
                <w:kern w:val="0"/>
                <w:sz w:val="18"/>
                <w:szCs w:val="18"/>
              </w:rPr>
            </w:pPr>
            <w:r>
              <w:rPr>
                <w:rFonts w:hint="eastAsia" w:ascii="宋体" w:hAnsi="宋体" w:cs="宋体"/>
                <w:kern w:val="0"/>
                <w:sz w:val="18"/>
                <w:szCs w:val="18"/>
              </w:rPr>
              <w:t>《蹲便器用水效率限定值及用水效率等级》（GB30717）</w:t>
            </w:r>
          </w:p>
        </w:tc>
      </w:tr>
      <w:tr w14:paraId="072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574" w:type="dxa"/>
            <w:vMerge w:val="continue"/>
            <w:vAlign w:val="center"/>
          </w:tcPr>
          <w:p w14:paraId="3C5A0C92">
            <w:pPr>
              <w:jc w:val="center"/>
              <w:rPr>
                <w:rFonts w:hint="eastAsia" w:ascii="宋体" w:hAnsi="宋体" w:cs="宋体"/>
                <w:kern w:val="0"/>
                <w:sz w:val="18"/>
                <w:szCs w:val="18"/>
              </w:rPr>
            </w:pPr>
          </w:p>
        </w:tc>
        <w:tc>
          <w:tcPr>
            <w:tcW w:w="1157" w:type="dxa"/>
            <w:vMerge w:val="continue"/>
            <w:vAlign w:val="center"/>
          </w:tcPr>
          <w:p w14:paraId="65A101D2">
            <w:pPr>
              <w:jc w:val="left"/>
              <w:rPr>
                <w:rFonts w:hint="eastAsia" w:ascii="宋体" w:hAnsi="宋体" w:cs="宋体"/>
                <w:kern w:val="0"/>
                <w:sz w:val="18"/>
                <w:szCs w:val="18"/>
              </w:rPr>
            </w:pPr>
          </w:p>
        </w:tc>
        <w:tc>
          <w:tcPr>
            <w:tcW w:w="1809" w:type="dxa"/>
            <w:vAlign w:val="center"/>
          </w:tcPr>
          <w:p w14:paraId="6CCFCBC0">
            <w:pPr>
              <w:jc w:val="left"/>
              <w:rPr>
                <w:rFonts w:hint="eastAsia" w:ascii="宋体" w:hAnsi="宋体" w:cs="宋体"/>
                <w:kern w:val="0"/>
                <w:sz w:val="18"/>
                <w:szCs w:val="18"/>
                <w:lang w:eastAsia="en-US"/>
              </w:rPr>
            </w:pPr>
            <w:r>
              <w:rPr>
                <w:rFonts w:hint="eastAsia" w:ascii="宋体" w:hAnsi="宋体" w:cs="宋体"/>
                <w:kern w:val="0"/>
                <w:sz w:val="18"/>
                <w:szCs w:val="18"/>
                <w:lang w:eastAsia="en-US"/>
              </w:rPr>
              <w:t>小便器</w:t>
            </w:r>
          </w:p>
        </w:tc>
        <w:tc>
          <w:tcPr>
            <w:tcW w:w="1621" w:type="dxa"/>
            <w:vAlign w:val="center"/>
          </w:tcPr>
          <w:p w14:paraId="7AC86541">
            <w:pPr>
              <w:jc w:val="left"/>
              <w:rPr>
                <w:rFonts w:hint="eastAsia" w:ascii="宋体" w:hAnsi="宋体" w:cs="宋体"/>
                <w:kern w:val="0"/>
                <w:sz w:val="18"/>
                <w:szCs w:val="18"/>
                <w:lang w:eastAsia="en-US"/>
              </w:rPr>
            </w:pPr>
          </w:p>
        </w:tc>
        <w:tc>
          <w:tcPr>
            <w:tcW w:w="4155" w:type="dxa"/>
            <w:vAlign w:val="center"/>
          </w:tcPr>
          <w:p w14:paraId="74E16D04">
            <w:pPr>
              <w:jc w:val="left"/>
              <w:rPr>
                <w:rFonts w:hint="eastAsia" w:ascii="宋体" w:hAnsi="宋体" w:cs="宋体"/>
                <w:kern w:val="0"/>
                <w:sz w:val="18"/>
                <w:szCs w:val="18"/>
              </w:rPr>
            </w:pPr>
            <w:r>
              <w:rPr>
                <w:rFonts w:hint="eastAsia" w:ascii="宋体" w:hAnsi="宋体" w:cs="宋体"/>
                <w:kern w:val="0"/>
                <w:sz w:val="18"/>
                <w:szCs w:val="18"/>
              </w:rPr>
              <w:t>《小便器用水效率限定值及用水效率等级》（GB28377）</w:t>
            </w:r>
          </w:p>
        </w:tc>
      </w:tr>
      <w:tr w14:paraId="1205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74" w:type="dxa"/>
            <w:vAlign w:val="center"/>
          </w:tcPr>
          <w:p w14:paraId="75FCCE8A">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16</w:t>
            </w:r>
          </w:p>
        </w:tc>
        <w:tc>
          <w:tcPr>
            <w:tcW w:w="1157" w:type="dxa"/>
            <w:vAlign w:val="center"/>
          </w:tcPr>
          <w:p w14:paraId="7E8C7293">
            <w:pPr>
              <w:jc w:val="left"/>
              <w:rPr>
                <w:rFonts w:hint="eastAsia" w:ascii="宋体" w:hAnsi="宋体" w:cs="宋体"/>
                <w:kern w:val="0"/>
                <w:sz w:val="18"/>
                <w:szCs w:val="18"/>
                <w:lang w:eastAsia="en-US"/>
              </w:rPr>
            </w:pPr>
            <w:r>
              <w:rPr>
                <w:rFonts w:hint="eastAsia" w:ascii="宋体" w:hAnsi="宋体" w:cs="宋体"/>
                <w:kern w:val="0"/>
                <w:sz w:val="18"/>
                <w:szCs w:val="18"/>
                <w:lang w:eastAsia="en-US"/>
              </w:rPr>
              <w:t>★A060806水嘴</w:t>
            </w:r>
          </w:p>
        </w:tc>
        <w:tc>
          <w:tcPr>
            <w:tcW w:w="1809" w:type="dxa"/>
            <w:vAlign w:val="center"/>
          </w:tcPr>
          <w:p w14:paraId="6D1467B6">
            <w:pPr>
              <w:jc w:val="left"/>
              <w:rPr>
                <w:rFonts w:hint="eastAsia" w:ascii="宋体" w:hAnsi="宋体" w:cs="宋体"/>
                <w:kern w:val="0"/>
                <w:sz w:val="18"/>
                <w:szCs w:val="18"/>
                <w:lang w:eastAsia="en-US"/>
              </w:rPr>
            </w:pPr>
          </w:p>
        </w:tc>
        <w:tc>
          <w:tcPr>
            <w:tcW w:w="1621" w:type="dxa"/>
            <w:vAlign w:val="center"/>
          </w:tcPr>
          <w:p w14:paraId="42DBAA20">
            <w:pPr>
              <w:jc w:val="left"/>
              <w:rPr>
                <w:rFonts w:hint="eastAsia" w:ascii="宋体" w:hAnsi="宋体" w:cs="宋体"/>
                <w:kern w:val="0"/>
                <w:sz w:val="18"/>
                <w:szCs w:val="18"/>
                <w:lang w:eastAsia="en-US"/>
              </w:rPr>
            </w:pPr>
          </w:p>
        </w:tc>
        <w:tc>
          <w:tcPr>
            <w:tcW w:w="4155" w:type="dxa"/>
            <w:vAlign w:val="center"/>
          </w:tcPr>
          <w:p w14:paraId="001A74F5">
            <w:pPr>
              <w:jc w:val="left"/>
              <w:rPr>
                <w:rFonts w:hint="eastAsia" w:ascii="宋体" w:hAnsi="宋体" w:cs="宋体"/>
                <w:kern w:val="0"/>
                <w:sz w:val="18"/>
                <w:szCs w:val="18"/>
              </w:rPr>
            </w:pPr>
            <w:r>
              <w:rPr>
                <w:rFonts w:hint="eastAsia" w:ascii="宋体" w:hAnsi="宋体" w:cs="宋体"/>
                <w:kern w:val="0"/>
                <w:sz w:val="18"/>
                <w:szCs w:val="18"/>
              </w:rPr>
              <w:t>《水嘴用水效率限定值及用水效率等级》（GB25501）</w:t>
            </w:r>
          </w:p>
        </w:tc>
      </w:tr>
      <w:tr w14:paraId="6EA6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74" w:type="dxa"/>
            <w:vAlign w:val="center"/>
          </w:tcPr>
          <w:p w14:paraId="773E18A0">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17</w:t>
            </w:r>
          </w:p>
        </w:tc>
        <w:tc>
          <w:tcPr>
            <w:tcW w:w="1157" w:type="dxa"/>
            <w:vAlign w:val="center"/>
          </w:tcPr>
          <w:p w14:paraId="2443ABCB">
            <w:pPr>
              <w:jc w:val="left"/>
              <w:rPr>
                <w:rFonts w:hint="eastAsia" w:ascii="宋体" w:hAnsi="宋体" w:cs="宋体"/>
                <w:kern w:val="0"/>
                <w:sz w:val="18"/>
                <w:szCs w:val="18"/>
                <w:lang w:eastAsia="en-US"/>
              </w:rPr>
            </w:pPr>
            <w:r>
              <w:rPr>
                <w:rFonts w:hint="eastAsia" w:ascii="宋体" w:hAnsi="宋体" w:cs="宋体"/>
                <w:kern w:val="0"/>
                <w:sz w:val="18"/>
                <w:szCs w:val="18"/>
                <w:lang w:eastAsia="en-US"/>
              </w:rPr>
              <w:t>A060807便器冲洗阀</w:t>
            </w:r>
          </w:p>
        </w:tc>
        <w:tc>
          <w:tcPr>
            <w:tcW w:w="1809" w:type="dxa"/>
            <w:vAlign w:val="center"/>
          </w:tcPr>
          <w:p w14:paraId="53224590">
            <w:pPr>
              <w:jc w:val="left"/>
              <w:rPr>
                <w:rFonts w:hint="eastAsia" w:ascii="宋体" w:hAnsi="宋体" w:cs="宋体"/>
                <w:kern w:val="0"/>
                <w:sz w:val="18"/>
                <w:szCs w:val="18"/>
                <w:lang w:eastAsia="en-US"/>
              </w:rPr>
            </w:pPr>
          </w:p>
        </w:tc>
        <w:tc>
          <w:tcPr>
            <w:tcW w:w="1621" w:type="dxa"/>
            <w:vAlign w:val="center"/>
          </w:tcPr>
          <w:p w14:paraId="64D395B4">
            <w:pPr>
              <w:jc w:val="left"/>
              <w:rPr>
                <w:rFonts w:hint="eastAsia" w:ascii="宋体" w:hAnsi="宋体" w:cs="宋体"/>
                <w:kern w:val="0"/>
                <w:sz w:val="18"/>
                <w:szCs w:val="18"/>
                <w:lang w:eastAsia="en-US"/>
              </w:rPr>
            </w:pPr>
          </w:p>
        </w:tc>
        <w:tc>
          <w:tcPr>
            <w:tcW w:w="4155" w:type="dxa"/>
            <w:vAlign w:val="center"/>
          </w:tcPr>
          <w:p w14:paraId="242305EA">
            <w:pPr>
              <w:jc w:val="left"/>
              <w:rPr>
                <w:rFonts w:hint="eastAsia" w:ascii="宋体" w:hAnsi="宋体" w:cs="宋体"/>
                <w:kern w:val="0"/>
                <w:sz w:val="18"/>
                <w:szCs w:val="18"/>
              </w:rPr>
            </w:pPr>
            <w:r>
              <w:rPr>
                <w:rFonts w:hint="eastAsia" w:ascii="宋体" w:hAnsi="宋体" w:cs="宋体"/>
                <w:kern w:val="0"/>
                <w:sz w:val="18"/>
                <w:szCs w:val="18"/>
              </w:rPr>
              <w:t>《便器冲洗阀用水效率限定值及用水效率等级》（GB28379）</w:t>
            </w:r>
          </w:p>
        </w:tc>
      </w:tr>
      <w:tr w14:paraId="63C3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574" w:type="dxa"/>
            <w:vAlign w:val="center"/>
          </w:tcPr>
          <w:p w14:paraId="0B847C66">
            <w:pPr>
              <w:jc w:val="center"/>
              <w:rPr>
                <w:rFonts w:hint="eastAsia" w:ascii="宋体" w:hAnsi="宋体" w:cs="宋体"/>
                <w:kern w:val="0"/>
                <w:sz w:val="18"/>
                <w:szCs w:val="18"/>
                <w:lang w:eastAsia="en-US"/>
              </w:rPr>
            </w:pPr>
            <w:r>
              <w:rPr>
                <w:rFonts w:hint="eastAsia" w:ascii="宋体" w:hAnsi="宋体" w:cs="宋体"/>
                <w:kern w:val="0"/>
                <w:sz w:val="18"/>
                <w:szCs w:val="18"/>
                <w:lang w:eastAsia="en-US"/>
              </w:rPr>
              <w:t>18</w:t>
            </w:r>
          </w:p>
        </w:tc>
        <w:tc>
          <w:tcPr>
            <w:tcW w:w="1157" w:type="dxa"/>
            <w:vAlign w:val="center"/>
          </w:tcPr>
          <w:p w14:paraId="74A508AD">
            <w:pPr>
              <w:jc w:val="left"/>
              <w:rPr>
                <w:rFonts w:hint="eastAsia" w:ascii="宋体" w:hAnsi="宋体" w:cs="宋体"/>
                <w:kern w:val="0"/>
                <w:sz w:val="18"/>
                <w:szCs w:val="18"/>
                <w:lang w:eastAsia="en-US"/>
              </w:rPr>
            </w:pPr>
            <w:r>
              <w:rPr>
                <w:rFonts w:hint="eastAsia" w:ascii="宋体" w:hAnsi="宋体" w:cs="宋体"/>
                <w:kern w:val="0"/>
                <w:sz w:val="18"/>
                <w:szCs w:val="18"/>
                <w:lang w:eastAsia="en-US"/>
              </w:rPr>
              <w:t>A060810淋浴器</w:t>
            </w:r>
          </w:p>
        </w:tc>
        <w:tc>
          <w:tcPr>
            <w:tcW w:w="1809" w:type="dxa"/>
            <w:vAlign w:val="center"/>
          </w:tcPr>
          <w:p w14:paraId="7A4ADAD1">
            <w:pPr>
              <w:jc w:val="left"/>
              <w:rPr>
                <w:rFonts w:hint="eastAsia" w:ascii="宋体" w:hAnsi="宋体" w:cs="宋体"/>
                <w:kern w:val="0"/>
                <w:sz w:val="18"/>
                <w:szCs w:val="18"/>
                <w:lang w:eastAsia="en-US"/>
              </w:rPr>
            </w:pPr>
          </w:p>
        </w:tc>
        <w:tc>
          <w:tcPr>
            <w:tcW w:w="1621" w:type="dxa"/>
            <w:vAlign w:val="center"/>
          </w:tcPr>
          <w:p w14:paraId="24B97B70">
            <w:pPr>
              <w:jc w:val="left"/>
              <w:rPr>
                <w:rFonts w:hint="eastAsia" w:ascii="宋体" w:hAnsi="宋体" w:cs="宋体"/>
                <w:kern w:val="0"/>
                <w:sz w:val="18"/>
                <w:szCs w:val="18"/>
                <w:lang w:eastAsia="en-US"/>
              </w:rPr>
            </w:pPr>
          </w:p>
        </w:tc>
        <w:tc>
          <w:tcPr>
            <w:tcW w:w="4155" w:type="dxa"/>
            <w:vAlign w:val="center"/>
          </w:tcPr>
          <w:p w14:paraId="7AC146BC">
            <w:pPr>
              <w:jc w:val="left"/>
              <w:rPr>
                <w:rFonts w:hint="eastAsia" w:ascii="宋体" w:hAnsi="宋体" w:cs="宋体"/>
                <w:kern w:val="0"/>
                <w:sz w:val="18"/>
                <w:szCs w:val="18"/>
              </w:rPr>
            </w:pPr>
            <w:r>
              <w:rPr>
                <w:rFonts w:hint="eastAsia" w:ascii="宋体" w:hAnsi="宋体" w:cs="宋体"/>
                <w:kern w:val="0"/>
                <w:sz w:val="18"/>
                <w:szCs w:val="18"/>
              </w:rPr>
              <w:t>《淋浴器用水效率限定值及用水效率等级》（GB28378）</w:t>
            </w:r>
          </w:p>
        </w:tc>
      </w:tr>
    </w:tbl>
    <w:p w14:paraId="5FEBAAC3">
      <w:pPr>
        <w:spacing w:line="440" w:lineRule="exact"/>
        <w:jc w:val="left"/>
        <w:rPr>
          <w:rFonts w:hint="eastAsia" w:ascii="宋体" w:hAnsi="宋体"/>
          <w:szCs w:val="21"/>
        </w:rPr>
      </w:pPr>
      <w:r>
        <w:rPr>
          <w:rFonts w:hint="eastAsia" w:ascii="宋体" w:hAnsi="宋体"/>
          <w:spacing w:val="-3"/>
          <w:szCs w:val="21"/>
        </w:rPr>
        <w:t>注：</w:t>
      </w:r>
      <w:r>
        <w:rPr>
          <w:rFonts w:ascii="宋体" w:hAnsi="宋体"/>
          <w:spacing w:val="-3"/>
          <w:szCs w:val="21"/>
        </w:rPr>
        <w:t>1.</w:t>
      </w:r>
      <w:r>
        <w:rPr>
          <w:rFonts w:hint="eastAsia" w:ascii="宋体" w:hAnsi="宋体"/>
          <w:spacing w:val="-3"/>
          <w:szCs w:val="21"/>
        </w:rPr>
        <w:t>节能产品认证应依据相关国家标准的最新版本，依据国家标准中二级能效（水效）</w:t>
      </w:r>
      <w:r>
        <w:rPr>
          <w:rFonts w:hint="eastAsia" w:ascii="宋体" w:hAnsi="宋体"/>
          <w:szCs w:val="21"/>
        </w:rPr>
        <w:t>指标。</w:t>
      </w:r>
    </w:p>
    <w:p w14:paraId="6F02EDC7">
      <w:pPr>
        <w:spacing w:line="440" w:lineRule="exact"/>
        <w:jc w:val="left"/>
        <w:rPr>
          <w:rFonts w:hint="eastAsia" w:ascii="宋体" w:hAnsi="宋体"/>
          <w:szCs w:val="21"/>
        </w:rPr>
      </w:pPr>
      <w:r>
        <w:rPr>
          <w:rFonts w:ascii="宋体" w:hAnsi="宋体"/>
          <w:szCs w:val="21"/>
        </w:rPr>
        <w:t>2.</w:t>
      </w:r>
      <w:r>
        <w:rPr>
          <w:rFonts w:hint="eastAsia" w:ascii="宋体" w:hAnsi="宋体"/>
          <w:szCs w:val="21"/>
        </w:rPr>
        <w:t>以</w:t>
      </w:r>
      <w:r>
        <w:rPr>
          <w:rFonts w:ascii="宋体" w:hAnsi="宋体"/>
          <w:szCs w:val="21"/>
        </w:rPr>
        <w:t>“</w:t>
      </w:r>
      <w:r>
        <w:rPr>
          <w:rFonts w:hint="eastAsia" w:ascii="宋体" w:hAnsi="宋体"/>
          <w:szCs w:val="21"/>
        </w:rPr>
        <w:t>★</w:t>
      </w:r>
      <w:r>
        <w:rPr>
          <w:rFonts w:ascii="宋体" w:hAnsi="宋体"/>
          <w:szCs w:val="21"/>
        </w:rPr>
        <w:t>”</w:t>
      </w:r>
      <w:r>
        <w:rPr>
          <w:rFonts w:hint="eastAsia" w:ascii="宋体" w:hAnsi="宋体"/>
          <w:szCs w:val="21"/>
        </w:rPr>
        <w:t>标注的为政府强制采购产品。</w:t>
      </w:r>
    </w:p>
    <w:p w14:paraId="5E68DD8F">
      <w:pPr>
        <w:widowControl/>
        <w:jc w:val="left"/>
        <w:rPr>
          <w:rFonts w:hint="eastAsia" w:ascii="宋体" w:hAnsi="宋体"/>
          <w:b/>
          <w:sz w:val="24"/>
          <w:szCs w:val="21"/>
        </w:rPr>
      </w:pPr>
      <w:r>
        <w:rPr>
          <w:rFonts w:ascii="宋体" w:hAnsi="宋体"/>
          <w:b/>
          <w:sz w:val="24"/>
          <w:szCs w:val="21"/>
        </w:rPr>
        <w:br w:type="page"/>
      </w:r>
    </w:p>
    <w:p w14:paraId="780890EF">
      <w:pPr>
        <w:spacing w:line="400" w:lineRule="exact"/>
        <w:rPr>
          <w:rFonts w:hint="eastAsia" w:ascii="宋体" w:hAnsi="宋体"/>
          <w:b/>
          <w:sz w:val="24"/>
          <w:szCs w:val="21"/>
        </w:rPr>
      </w:pPr>
      <w:r>
        <w:rPr>
          <w:rFonts w:hint="eastAsia" w:ascii="宋体" w:hAnsi="宋体"/>
          <w:b/>
          <w:sz w:val="24"/>
          <w:szCs w:val="21"/>
        </w:rPr>
        <w:t>附件2：</w:t>
      </w:r>
    </w:p>
    <w:p w14:paraId="7BAD26CB">
      <w:pPr>
        <w:spacing w:line="528" w:lineRule="exact"/>
        <w:jc w:val="center"/>
        <w:rPr>
          <w:rFonts w:hint="eastAsia" w:ascii="宋体" w:hAnsi="宋体" w:cs="宋体"/>
          <w:b/>
          <w:sz w:val="28"/>
          <w:szCs w:val="28"/>
        </w:rPr>
      </w:pPr>
      <w:r>
        <w:rPr>
          <w:rFonts w:hint="eastAsia" w:ascii="宋体" w:hAnsi="宋体" w:cs="宋体"/>
          <w:b/>
          <w:sz w:val="28"/>
          <w:szCs w:val="28"/>
        </w:rPr>
        <w:t>中小微企业划型标准</w:t>
      </w:r>
    </w:p>
    <w:tbl>
      <w:tblPr>
        <w:tblStyle w:val="17"/>
        <w:tblW w:w="9140" w:type="dxa"/>
        <w:jc w:val="center"/>
        <w:tblLayout w:type="fixed"/>
        <w:tblCellMar>
          <w:top w:w="0" w:type="dxa"/>
          <w:left w:w="108" w:type="dxa"/>
          <w:bottom w:w="0" w:type="dxa"/>
          <w:right w:w="108" w:type="dxa"/>
        </w:tblCellMar>
      </w:tblPr>
      <w:tblGrid>
        <w:gridCol w:w="1764"/>
        <w:gridCol w:w="1497"/>
        <w:gridCol w:w="1179"/>
        <w:gridCol w:w="1798"/>
        <w:gridCol w:w="1701"/>
        <w:gridCol w:w="1201"/>
      </w:tblGrid>
      <w:tr w14:paraId="6AF251F7">
        <w:tblPrEx>
          <w:tblCellMar>
            <w:top w:w="0" w:type="dxa"/>
            <w:left w:w="108" w:type="dxa"/>
            <w:bottom w:w="0" w:type="dxa"/>
            <w:right w:w="108" w:type="dxa"/>
          </w:tblCellMar>
        </w:tblPrEx>
        <w:trPr>
          <w:trHeight w:val="285"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3CB63142">
            <w:pPr>
              <w:widowControl/>
              <w:spacing w:line="340" w:lineRule="exact"/>
              <w:jc w:val="center"/>
              <w:rPr>
                <w:rFonts w:hint="eastAsia" w:ascii="宋体" w:hAnsi="宋体" w:cs="宋体"/>
                <w:b/>
                <w:kern w:val="0"/>
                <w:szCs w:val="21"/>
              </w:rPr>
            </w:pPr>
            <w:r>
              <w:rPr>
                <w:rFonts w:hint="eastAsia" w:ascii="宋体" w:hAnsi="宋体" w:cs="宋体"/>
                <w:b/>
                <w:kern w:val="0"/>
                <w:szCs w:val="21"/>
              </w:rPr>
              <w:t>行业名称</w:t>
            </w:r>
          </w:p>
        </w:tc>
        <w:tc>
          <w:tcPr>
            <w:tcW w:w="1497" w:type="dxa"/>
            <w:tcBorders>
              <w:top w:val="single" w:color="auto" w:sz="4" w:space="0"/>
              <w:left w:val="nil"/>
              <w:bottom w:val="single" w:color="auto" w:sz="4" w:space="0"/>
              <w:right w:val="single" w:color="auto" w:sz="4" w:space="0"/>
            </w:tcBorders>
            <w:vAlign w:val="center"/>
          </w:tcPr>
          <w:p w14:paraId="348C8007">
            <w:pPr>
              <w:widowControl/>
              <w:spacing w:line="340" w:lineRule="exact"/>
              <w:jc w:val="center"/>
              <w:rPr>
                <w:rFonts w:hint="eastAsia" w:ascii="宋体" w:hAnsi="宋体" w:cs="宋体"/>
                <w:b/>
                <w:kern w:val="0"/>
                <w:szCs w:val="21"/>
              </w:rPr>
            </w:pPr>
            <w:r>
              <w:rPr>
                <w:rFonts w:hint="eastAsia" w:ascii="宋体" w:hAnsi="宋体" w:cs="宋体"/>
                <w:b/>
                <w:kern w:val="0"/>
                <w:szCs w:val="21"/>
              </w:rPr>
              <w:t>指标名称</w:t>
            </w:r>
          </w:p>
        </w:tc>
        <w:tc>
          <w:tcPr>
            <w:tcW w:w="1179" w:type="dxa"/>
            <w:tcBorders>
              <w:top w:val="single" w:color="auto" w:sz="4" w:space="0"/>
              <w:left w:val="nil"/>
              <w:bottom w:val="single" w:color="auto" w:sz="4" w:space="0"/>
              <w:right w:val="single" w:color="auto" w:sz="4" w:space="0"/>
            </w:tcBorders>
            <w:vAlign w:val="center"/>
          </w:tcPr>
          <w:p w14:paraId="0D185839">
            <w:pPr>
              <w:widowControl/>
              <w:spacing w:line="340" w:lineRule="exact"/>
              <w:jc w:val="center"/>
              <w:rPr>
                <w:rFonts w:hint="eastAsia" w:ascii="宋体" w:hAnsi="宋体" w:cs="宋体"/>
                <w:b/>
                <w:kern w:val="0"/>
                <w:szCs w:val="21"/>
              </w:rPr>
            </w:pPr>
            <w:r>
              <w:rPr>
                <w:rFonts w:hint="eastAsia" w:ascii="宋体" w:hAnsi="宋体" w:cs="宋体"/>
                <w:b/>
                <w:kern w:val="0"/>
                <w:szCs w:val="21"/>
              </w:rPr>
              <w:t>计量单位</w:t>
            </w:r>
          </w:p>
        </w:tc>
        <w:tc>
          <w:tcPr>
            <w:tcW w:w="1798" w:type="dxa"/>
            <w:tcBorders>
              <w:top w:val="single" w:color="auto" w:sz="4" w:space="0"/>
              <w:left w:val="nil"/>
              <w:bottom w:val="single" w:color="auto" w:sz="4" w:space="0"/>
              <w:right w:val="single" w:color="auto" w:sz="4" w:space="0"/>
            </w:tcBorders>
            <w:vAlign w:val="center"/>
          </w:tcPr>
          <w:p w14:paraId="79FD47B6">
            <w:pPr>
              <w:widowControl/>
              <w:spacing w:line="340" w:lineRule="exact"/>
              <w:jc w:val="center"/>
              <w:rPr>
                <w:rFonts w:hint="eastAsia" w:ascii="宋体" w:hAnsi="宋体" w:cs="宋体"/>
                <w:b/>
                <w:kern w:val="0"/>
                <w:szCs w:val="21"/>
              </w:rPr>
            </w:pPr>
            <w:r>
              <w:rPr>
                <w:rFonts w:hint="eastAsia" w:ascii="宋体" w:hAnsi="宋体" w:cs="宋体"/>
                <w:b/>
                <w:kern w:val="0"/>
                <w:szCs w:val="21"/>
              </w:rPr>
              <w:t>中型</w:t>
            </w:r>
          </w:p>
        </w:tc>
        <w:tc>
          <w:tcPr>
            <w:tcW w:w="1701" w:type="dxa"/>
            <w:tcBorders>
              <w:top w:val="single" w:color="auto" w:sz="4" w:space="0"/>
              <w:left w:val="nil"/>
              <w:bottom w:val="single" w:color="auto" w:sz="4" w:space="0"/>
              <w:right w:val="single" w:color="auto" w:sz="4" w:space="0"/>
            </w:tcBorders>
            <w:vAlign w:val="center"/>
          </w:tcPr>
          <w:p w14:paraId="04B51C7D">
            <w:pPr>
              <w:widowControl/>
              <w:spacing w:line="340" w:lineRule="exact"/>
              <w:jc w:val="center"/>
              <w:rPr>
                <w:rFonts w:hint="eastAsia" w:ascii="宋体" w:hAnsi="宋体" w:cs="宋体"/>
                <w:b/>
                <w:kern w:val="0"/>
                <w:szCs w:val="21"/>
              </w:rPr>
            </w:pPr>
            <w:r>
              <w:rPr>
                <w:rFonts w:hint="eastAsia" w:ascii="宋体" w:hAnsi="宋体" w:cs="宋体"/>
                <w:b/>
                <w:kern w:val="0"/>
                <w:szCs w:val="21"/>
              </w:rPr>
              <w:t>小型</w:t>
            </w:r>
          </w:p>
        </w:tc>
        <w:tc>
          <w:tcPr>
            <w:tcW w:w="1201" w:type="dxa"/>
            <w:tcBorders>
              <w:top w:val="single" w:color="auto" w:sz="4" w:space="0"/>
              <w:left w:val="nil"/>
              <w:bottom w:val="single" w:color="auto" w:sz="4" w:space="0"/>
              <w:right w:val="single" w:color="auto" w:sz="4" w:space="0"/>
            </w:tcBorders>
            <w:vAlign w:val="center"/>
          </w:tcPr>
          <w:p w14:paraId="33129531">
            <w:pPr>
              <w:widowControl/>
              <w:spacing w:line="340" w:lineRule="exact"/>
              <w:jc w:val="center"/>
              <w:rPr>
                <w:rFonts w:hint="eastAsia" w:ascii="宋体" w:hAnsi="宋体" w:cs="宋体"/>
                <w:b/>
                <w:kern w:val="0"/>
                <w:szCs w:val="21"/>
              </w:rPr>
            </w:pPr>
            <w:r>
              <w:rPr>
                <w:rFonts w:hint="eastAsia" w:ascii="宋体" w:hAnsi="宋体" w:cs="宋体"/>
                <w:b/>
                <w:kern w:val="0"/>
                <w:szCs w:val="21"/>
              </w:rPr>
              <w:t>微型</w:t>
            </w:r>
          </w:p>
        </w:tc>
      </w:tr>
      <w:tr w14:paraId="28CB96D4">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6D3F5069">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农、林、牧、渔</w:t>
            </w:r>
          </w:p>
        </w:tc>
        <w:tc>
          <w:tcPr>
            <w:tcW w:w="1497" w:type="dxa"/>
            <w:tcBorders>
              <w:top w:val="nil"/>
              <w:left w:val="nil"/>
              <w:bottom w:val="single" w:color="auto" w:sz="4" w:space="0"/>
              <w:right w:val="single" w:color="auto" w:sz="4" w:space="0"/>
            </w:tcBorders>
            <w:vAlign w:val="center"/>
          </w:tcPr>
          <w:p w14:paraId="30FCCAB3">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6CF906EC">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288B7A08">
            <w:pPr>
              <w:widowControl/>
              <w:spacing w:line="340" w:lineRule="exact"/>
              <w:jc w:val="center"/>
              <w:rPr>
                <w:rFonts w:hint="eastAsia"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09D546C6">
            <w:pPr>
              <w:widowControl/>
              <w:spacing w:line="340" w:lineRule="exact"/>
              <w:jc w:val="center"/>
              <w:rPr>
                <w:rFonts w:hint="eastAsia" w:ascii="宋体" w:hAnsi="宋体" w:cs="宋体"/>
                <w:kern w:val="0"/>
                <w:szCs w:val="21"/>
              </w:rPr>
            </w:pPr>
            <w:r>
              <w:rPr>
                <w:rFonts w:hint="eastAsia" w:ascii="宋体" w:hAnsi="宋体" w:cs="宋体"/>
                <w:kern w:val="0"/>
                <w:szCs w:val="21"/>
              </w:rPr>
              <w:t>50≤Y＜500</w:t>
            </w:r>
          </w:p>
        </w:tc>
        <w:tc>
          <w:tcPr>
            <w:tcW w:w="1201" w:type="dxa"/>
            <w:tcBorders>
              <w:top w:val="nil"/>
              <w:left w:val="nil"/>
              <w:bottom w:val="single" w:color="auto" w:sz="4" w:space="0"/>
              <w:right w:val="single" w:color="auto" w:sz="4" w:space="0"/>
            </w:tcBorders>
            <w:vAlign w:val="center"/>
          </w:tcPr>
          <w:p w14:paraId="5608C071">
            <w:pPr>
              <w:widowControl/>
              <w:spacing w:line="340" w:lineRule="exact"/>
              <w:jc w:val="center"/>
              <w:rPr>
                <w:rFonts w:hint="eastAsia" w:ascii="宋体" w:hAnsi="宋体" w:cs="宋体"/>
                <w:kern w:val="0"/>
                <w:szCs w:val="21"/>
              </w:rPr>
            </w:pPr>
            <w:r>
              <w:rPr>
                <w:rFonts w:hint="eastAsia" w:ascii="宋体" w:hAnsi="宋体" w:cs="宋体"/>
                <w:kern w:val="0"/>
                <w:szCs w:val="21"/>
              </w:rPr>
              <w:t>Y＜50</w:t>
            </w:r>
          </w:p>
        </w:tc>
      </w:tr>
      <w:tr w14:paraId="014467CF">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25660C73">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工业</w:t>
            </w:r>
          </w:p>
        </w:tc>
        <w:tc>
          <w:tcPr>
            <w:tcW w:w="1497" w:type="dxa"/>
            <w:tcBorders>
              <w:top w:val="nil"/>
              <w:left w:val="nil"/>
              <w:bottom w:val="single" w:color="auto" w:sz="4" w:space="0"/>
              <w:right w:val="single" w:color="auto" w:sz="4" w:space="0"/>
            </w:tcBorders>
            <w:vAlign w:val="center"/>
          </w:tcPr>
          <w:p w14:paraId="56F84B8D">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0E774DC5">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11EF477A">
            <w:pPr>
              <w:widowControl/>
              <w:spacing w:line="340" w:lineRule="exact"/>
              <w:jc w:val="center"/>
              <w:rPr>
                <w:rFonts w:hint="eastAsia"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2395BCAF">
            <w:pPr>
              <w:widowControl/>
              <w:spacing w:line="340" w:lineRule="exact"/>
              <w:jc w:val="center"/>
              <w:rPr>
                <w:rFonts w:hint="eastAsia" w:ascii="宋体" w:hAnsi="宋体" w:cs="宋体"/>
                <w:kern w:val="0"/>
                <w:szCs w:val="21"/>
              </w:rPr>
            </w:pPr>
            <w:r>
              <w:rPr>
                <w:rFonts w:hint="eastAsia" w:ascii="宋体" w:hAnsi="宋体" w:cs="宋体"/>
                <w:kern w:val="0"/>
                <w:szCs w:val="21"/>
              </w:rPr>
              <w:t>20≤X＜300</w:t>
            </w:r>
          </w:p>
        </w:tc>
        <w:tc>
          <w:tcPr>
            <w:tcW w:w="1201" w:type="dxa"/>
            <w:tcBorders>
              <w:top w:val="nil"/>
              <w:left w:val="nil"/>
              <w:bottom w:val="single" w:color="auto" w:sz="4" w:space="0"/>
              <w:right w:val="single" w:color="auto" w:sz="4" w:space="0"/>
            </w:tcBorders>
            <w:vAlign w:val="center"/>
          </w:tcPr>
          <w:p w14:paraId="4274433E">
            <w:pPr>
              <w:widowControl/>
              <w:spacing w:line="340" w:lineRule="exact"/>
              <w:jc w:val="center"/>
              <w:rPr>
                <w:rFonts w:hint="eastAsia" w:ascii="宋体" w:hAnsi="宋体" w:cs="宋体"/>
                <w:kern w:val="0"/>
                <w:szCs w:val="21"/>
              </w:rPr>
            </w:pPr>
            <w:r>
              <w:rPr>
                <w:rFonts w:hint="eastAsia" w:ascii="宋体" w:hAnsi="宋体" w:cs="宋体"/>
                <w:kern w:val="0"/>
                <w:szCs w:val="21"/>
              </w:rPr>
              <w:t>X＜20</w:t>
            </w:r>
          </w:p>
        </w:tc>
      </w:tr>
      <w:tr w14:paraId="19456990">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84F3236">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51461C6E">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09BD92F6">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48BBA987">
            <w:pPr>
              <w:widowControl/>
              <w:spacing w:line="340" w:lineRule="exact"/>
              <w:jc w:val="center"/>
              <w:rPr>
                <w:rFonts w:hint="eastAsia" w:ascii="宋体" w:hAnsi="宋体" w:cs="宋体"/>
                <w:kern w:val="0"/>
                <w:szCs w:val="21"/>
              </w:rPr>
            </w:pPr>
            <w:r>
              <w:rPr>
                <w:rFonts w:hint="eastAsia" w:ascii="宋体" w:hAnsi="宋体" w:cs="宋体"/>
                <w:kern w:val="0"/>
                <w:szCs w:val="21"/>
              </w:rPr>
              <w:t>2000≤Y＜40000</w:t>
            </w:r>
          </w:p>
        </w:tc>
        <w:tc>
          <w:tcPr>
            <w:tcW w:w="1701" w:type="dxa"/>
            <w:tcBorders>
              <w:top w:val="nil"/>
              <w:left w:val="nil"/>
              <w:bottom w:val="single" w:color="auto" w:sz="4" w:space="0"/>
              <w:right w:val="single" w:color="auto" w:sz="4" w:space="0"/>
            </w:tcBorders>
            <w:vAlign w:val="center"/>
          </w:tcPr>
          <w:p w14:paraId="626388CA">
            <w:pPr>
              <w:widowControl/>
              <w:spacing w:line="340" w:lineRule="exact"/>
              <w:jc w:val="center"/>
              <w:rPr>
                <w:rFonts w:hint="eastAsia" w:ascii="宋体" w:hAnsi="宋体" w:cs="宋体"/>
                <w:kern w:val="0"/>
                <w:szCs w:val="21"/>
              </w:rPr>
            </w:pPr>
            <w:r>
              <w:rPr>
                <w:rFonts w:hint="eastAsia" w:ascii="宋体" w:hAnsi="宋体" w:cs="宋体"/>
                <w:kern w:val="0"/>
                <w:szCs w:val="21"/>
              </w:rPr>
              <w:t>300≤Y＜2000</w:t>
            </w:r>
          </w:p>
        </w:tc>
        <w:tc>
          <w:tcPr>
            <w:tcW w:w="1201" w:type="dxa"/>
            <w:tcBorders>
              <w:top w:val="nil"/>
              <w:left w:val="nil"/>
              <w:bottom w:val="single" w:color="auto" w:sz="4" w:space="0"/>
              <w:right w:val="single" w:color="auto" w:sz="4" w:space="0"/>
            </w:tcBorders>
            <w:vAlign w:val="center"/>
          </w:tcPr>
          <w:p w14:paraId="1F83AB0A">
            <w:pPr>
              <w:widowControl/>
              <w:spacing w:line="340" w:lineRule="exact"/>
              <w:jc w:val="center"/>
              <w:rPr>
                <w:rFonts w:hint="eastAsia" w:ascii="宋体" w:hAnsi="宋体" w:cs="宋体"/>
                <w:kern w:val="0"/>
                <w:szCs w:val="21"/>
              </w:rPr>
            </w:pPr>
            <w:r>
              <w:rPr>
                <w:rFonts w:hint="eastAsia" w:ascii="宋体" w:hAnsi="宋体" w:cs="宋体"/>
                <w:kern w:val="0"/>
                <w:szCs w:val="21"/>
              </w:rPr>
              <w:t>Y＜300</w:t>
            </w:r>
          </w:p>
        </w:tc>
      </w:tr>
      <w:tr w14:paraId="27DFC32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16EF855E">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建筑业</w:t>
            </w:r>
          </w:p>
        </w:tc>
        <w:tc>
          <w:tcPr>
            <w:tcW w:w="1497" w:type="dxa"/>
            <w:tcBorders>
              <w:top w:val="nil"/>
              <w:left w:val="nil"/>
              <w:bottom w:val="single" w:color="auto" w:sz="4" w:space="0"/>
              <w:right w:val="single" w:color="auto" w:sz="4" w:space="0"/>
            </w:tcBorders>
            <w:vAlign w:val="center"/>
          </w:tcPr>
          <w:p w14:paraId="7DDC28A2">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020FC59E">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321CEE21">
            <w:pPr>
              <w:widowControl/>
              <w:spacing w:line="340" w:lineRule="exact"/>
              <w:jc w:val="center"/>
              <w:rPr>
                <w:rFonts w:hint="eastAsia" w:ascii="宋体" w:hAnsi="宋体" w:cs="宋体"/>
                <w:kern w:val="0"/>
                <w:szCs w:val="21"/>
              </w:rPr>
            </w:pPr>
            <w:r>
              <w:rPr>
                <w:rFonts w:hint="eastAsia" w:ascii="宋体" w:hAnsi="宋体" w:cs="宋体"/>
                <w:kern w:val="0"/>
                <w:szCs w:val="21"/>
              </w:rPr>
              <w:t>6000≤Y＜80000</w:t>
            </w:r>
          </w:p>
        </w:tc>
        <w:tc>
          <w:tcPr>
            <w:tcW w:w="1701" w:type="dxa"/>
            <w:tcBorders>
              <w:top w:val="nil"/>
              <w:left w:val="nil"/>
              <w:bottom w:val="single" w:color="auto" w:sz="4" w:space="0"/>
              <w:right w:val="single" w:color="auto" w:sz="4" w:space="0"/>
            </w:tcBorders>
            <w:vAlign w:val="center"/>
          </w:tcPr>
          <w:p w14:paraId="1AE83685">
            <w:pPr>
              <w:widowControl/>
              <w:spacing w:line="340" w:lineRule="exact"/>
              <w:jc w:val="center"/>
              <w:rPr>
                <w:rFonts w:hint="eastAsia" w:ascii="宋体" w:hAnsi="宋体" w:cs="宋体"/>
                <w:kern w:val="0"/>
                <w:szCs w:val="21"/>
              </w:rPr>
            </w:pPr>
            <w:r>
              <w:rPr>
                <w:rFonts w:hint="eastAsia" w:ascii="宋体" w:hAnsi="宋体" w:cs="宋体"/>
                <w:kern w:val="0"/>
                <w:szCs w:val="21"/>
              </w:rPr>
              <w:t>300≤Y＜6000</w:t>
            </w:r>
          </w:p>
        </w:tc>
        <w:tc>
          <w:tcPr>
            <w:tcW w:w="1201" w:type="dxa"/>
            <w:tcBorders>
              <w:top w:val="nil"/>
              <w:left w:val="nil"/>
              <w:bottom w:val="single" w:color="auto" w:sz="4" w:space="0"/>
              <w:right w:val="single" w:color="auto" w:sz="4" w:space="0"/>
            </w:tcBorders>
            <w:vAlign w:val="center"/>
          </w:tcPr>
          <w:p w14:paraId="59803E38">
            <w:pPr>
              <w:widowControl/>
              <w:spacing w:line="340" w:lineRule="exact"/>
              <w:jc w:val="center"/>
              <w:rPr>
                <w:rFonts w:hint="eastAsia" w:ascii="宋体" w:hAnsi="宋体" w:cs="宋体"/>
                <w:kern w:val="0"/>
                <w:szCs w:val="21"/>
              </w:rPr>
            </w:pPr>
            <w:r>
              <w:rPr>
                <w:rFonts w:hint="eastAsia" w:ascii="宋体" w:hAnsi="宋体" w:cs="宋体"/>
                <w:kern w:val="0"/>
                <w:szCs w:val="21"/>
              </w:rPr>
              <w:t>Y＜300</w:t>
            </w:r>
          </w:p>
        </w:tc>
      </w:tr>
      <w:tr w14:paraId="307A516A">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E4DD28E">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1A937E4F">
            <w:pPr>
              <w:widowControl/>
              <w:spacing w:line="340" w:lineRule="exact"/>
              <w:jc w:val="center"/>
              <w:rPr>
                <w:rFonts w:hint="eastAsia" w:ascii="宋体" w:hAnsi="宋体" w:cs="宋体"/>
                <w:kern w:val="0"/>
                <w:szCs w:val="21"/>
              </w:rPr>
            </w:pPr>
            <w:r>
              <w:rPr>
                <w:rFonts w:hint="eastAsia" w:ascii="宋体" w:hAnsi="宋体" w:cs="宋体"/>
                <w:kern w:val="0"/>
                <w:szCs w:val="21"/>
              </w:rPr>
              <w:t>资产总额（Z）</w:t>
            </w:r>
          </w:p>
        </w:tc>
        <w:tc>
          <w:tcPr>
            <w:tcW w:w="1179" w:type="dxa"/>
            <w:tcBorders>
              <w:top w:val="nil"/>
              <w:left w:val="nil"/>
              <w:bottom w:val="single" w:color="auto" w:sz="4" w:space="0"/>
              <w:right w:val="single" w:color="auto" w:sz="4" w:space="0"/>
            </w:tcBorders>
            <w:vAlign w:val="center"/>
          </w:tcPr>
          <w:p w14:paraId="276165AE">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5E869AE7">
            <w:pPr>
              <w:widowControl/>
              <w:spacing w:line="340" w:lineRule="exact"/>
              <w:jc w:val="center"/>
              <w:rPr>
                <w:rFonts w:hint="eastAsia" w:ascii="宋体" w:hAnsi="宋体" w:cs="宋体"/>
                <w:kern w:val="0"/>
                <w:szCs w:val="21"/>
              </w:rPr>
            </w:pPr>
            <w:r>
              <w:rPr>
                <w:rFonts w:hint="eastAsia" w:ascii="宋体" w:hAnsi="宋体" w:cs="宋体"/>
                <w:kern w:val="0"/>
                <w:szCs w:val="21"/>
              </w:rPr>
              <w:t>5000≤Z＜80000</w:t>
            </w:r>
          </w:p>
        </w:tc>
        <w:tc>
          <w:tcPr>
            <w:tcW w:w="1701" w:type="dxa"/>
            <w:tcBorders>
              <w:top w:val="nil"/>
              <w:left w:val="nil"/>
              <w:bottom w:val="single" w:color="auto" w:sz="4" w:space="0"/>
              <w:right w:val="single" w:color="auto" w:sz="4" w:space="0"/>
            </w:tcBorders>
            <w:vAlign w:val="center"/>
          </w:tcPr>
          <w:p w14:paraId="6CF16FD3">
            <w:pPr>
              <w:widowControl/>
              <w:spacing w:line="340" w:lineRule="exact"/>
              <w:jc w:val="center"/>
              <w:rPr>
                <w:rFonts w:hint="eastAsia" w:ascii="宋体" w:hAnsi="宋体" w:cs="宋体"/>
                <w:kern w:val="0"/>
                <w:szCs w:val="21"/>
              </w:rPr>
            </w:pPr>
            <w:r>
              <w:rPr>
                <w:rFonts w:hint="eastAsia" w:ascii="宋体" w:hAnsi="宋体" w:cs="宋体"/>
                <w:kern w:val="0"/>
                <w:szCs w:val="21"/>
              </w:rPr>
              <w:t>300≤Z＜5000</w:t>
            </w:r>
          </w:p>
        </w:tc>
        <w:tc>
          <w:tcPr>
            <w:tcW w:w="1201" w:type="dxa"/>
            <w:tcBorders>
              <w:top w:val="nil"/>
              <w:left w:val="nil"/>
              <w:bottom w:val="single" w:color="auto" w:sz="4" w:space="0"/>
              <w:right w:val="single" w:color="auto" w:sz="4" w:space="0"/>
            </w:tcBorders>
            <w:vAlign w:val="center"/>
          </w:tcPr>
          <w:p w14:paraId="055BDEAD">
            <w:pPr>
              <w:widowControl/>
              <w:spacing w:line="340" w:lineRule="exact"/>
              <w:jc w:val="center"/>
              <w:rPr>
                <w:rFonts w:hint="eastAsia" w:ascii="宋体" w:hAnsi="宋体" w:cs="宋体"/>
                <w:kern w:val="0"/>
                <w:szCs w:val="21"/>
              </w:rPr>
            </w:pPr>
            <w:r>
              <w:rPr>
                <w:rFonts w:hint="eastAsia" w:ascii="宋体" w:hAnsi="宋体" w:cs="宋体"/>
                <w:kern w:val="0"/>
                <w:szCs w:val="21"/>
              </w:rPr>
              <w:t>Z＜300</w:t>
            </w:r>
          </w:p>
        </w:tc>
      </w:tr>
      <w:tr w14:paraId="6941479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F921CAF">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批发业</w:t>
            </w:r>
          </w:p>
        </w:tc>
        <w:tc>
          <w:tcPr>
            <w:tcW w:w="1497" w:type="dxa"/>
            <w:tcBorders>
              <w:top w:val="nil"/>
              <w:left w:val="nil"/>
              <w:bottom w:val="single" w:color="auto" w:sz="4" w:space="0"/>
              <w:right w:val="single" w:color="auto" w:sz="4" w:space="0"/>
            </w:tcBorders>
            <w:vAlign w:val="center"/>
          </w:tcPr>
          <w:p w14:paraId="036342DD">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1208D13C">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774FA011">
            <w:pPr>
              <w:widowControl/>
              <w:spacing w:line="340" w:lineRule="exact"/>
              <w:jc w:val="center"/>
              <w:rPr>
                <w:rFonts w:hint="eastAsia" w:ascii="宋体" w:hAnsi="宋体" w:cs="宋体"/>
                <w:kern w:val="0"/>
                <w:szCs w:val="21"/>
              </w:rPr>
            </w:pPr>
            <w:r>
              <w:rPr>
                <w:rFonts w:hint="eastAsia" w:ascii="宋体" w:hAnsi="宋体" w:cs="宋体"/>
                <w:kern w:val="0"/>
                <w:szCs w:val="21"/>
              </w:rPr>
              <w:t>20≤X＜200</w:t>
            </w:r>
          </w:p>
        </w:tc>
        <w:tc>
          <w:tcPr>
            <w:tcW w:w="1701" w:type="dxa"/>
            <w:tcBorders>
              <w:top w:val="nil"/>
              <w:left w:val="nil"/>
              <w:bottom w:val="single" w:color="auto" w:sz="4" w:space="0"/>
              <w:right w:val="single" w:color="auto" w:sz="4" w:space="0"/>
            </w:tcBorders>
            <w:vAlign w:val="center"/>
          </w:tcPr>
          <w:p w14:paraId="44BCB1FF">
            <w:pPr>
              <w:widowControl/>
              <w:spacing w:line="340" w:lineRule="exact"/>
              <w:jc w:val="center"/>
              <w:rPr>
                <w:rFonts w:hint="eastAsia" w:ascii="宋体" w:hAnsi="宋体" w:cs="宋体"/>
                <w:kern w:val="0"/>
                <w:szCs w:val="21"/>
              </w:rPr>
            </w:pPr>
            <w:r>
              <w:rPr>
                <w:rFonts w:hint="eastAsia" w:ascii="宋体" w:hAnsi="宋体" w:cs="宋体"/>
                <w:kern w:val="0"/>
                <w:szCs w:val="21"/>
              </w:rPr>
              <w:t>5≤X＜20</w:t>
            </w:r>
          </w:p>
        </w:tc>
        <w:tc>
          <w:tcPr>
            <w:tcW w:w="1201" w:type="dxa"/>
            <w:tcBorders>
              <w:top w:val="nil"/>
              <w:left w:val="nil"/>
              <w:bottom w:val="single" w:color="auto" w:sz="4" w:space="0"/>
              <w:right w:val="single" w:color="auto" w:sz="4" w:space="0"/>
            </w:tcBorders>
            <w:vAlign w:val="center"/>
          </w:tcPr>
          <w:p w14:paraId="16056D5D">
            <w:pPr>
              <w:widowControl/>
              <w:spacing w:line="340" w:lineRule="exact"/>
              <w:jc w:val="center"/>
              <w:rPr>
                <w:rFonts w:hint="eastAsia" w:ascii="宋体" w:hAnsi="宋体" w:cs="宋体"/>
                <w:kern w:val="0"/>
                <w:szCs w:val="21"/>
              </w:rPr>
            </w:pPr>
            <w:r>
              <w:rPr>
                <w:rFonts w:hint="eastAsia" w:ascii="宋体" w:hAnsi="宋体" w:cs="宋体"/>
                <w:kern w:val="0"/>
                <w:szCs w:val="21"/>
              </w:rPr>
              <w:t>X＜5</w:t>
            </w:r>
          </w:p>
        </w:tc>
      </w:tr>
      <w:tr w14:paraId="43EE1B7E">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863B47D">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740FC9F7">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1CC40F87">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28947F31">
            <w:pPr>
              <w:widowControl/>
              <w:spacing w:line="340" w:lineRule="exact"/>
              <w:jc w:val="center"/>
              <w:rPr>
                <w:rFonts w:hint="eastAsia" w:ascii="宋体" w:hAnsi="宋体" w:cs="宋体"/>
                <w:kern w:val="0"/>
                <w:szCs w:val="21"/>
              </w:rPr>
            </w:pPr>
            <w:r>
              <w:rPr>
                <w:rFonts w:hint="eastAsia" w:ascii="宋体" w:hAnsi="宋体" w:cs="宋体"/>
                <w:kern w:val="0"/>
                <w:szCs w:val="21"/>
              </w:rPr>
              <w:t>5000≤Y＜40000</w:t>
            </w:r>
          </w:p>
        </w:tc>
        <w:tc>
          <w:tcPr>
            <w:tcW w:w="1701" w:type="dxa"/>
            <w:tcBorders>
              <w:top w:val="nil"/>
              <w:left w:val="nil"/>
              <w:bottom w:val="single" w:color="auto" w:sz="4" w:space="0"/>
              <w:right w:val="single" w:color="auto" w:sz="4" w:space="0"/>
            </w:tcBorders>
            <w:vAlign w:val="center"/>
          </w:tcPr>
          <w:p w14:paraId="63E049C6">
            <w:pPr>
              <w:widowControl/>
              <w:spacing w:line="340" w:lineRule="exact"/>
              <w:jc w:val="center"/>
              <w:rPr>
                <w:rFonts w:hint="eastAsia" w:ascii="宋体" w:hAnsi="宋体" w:cs="宋体"/>
                <w:kern w:val="0"/>
                <w:szCs w:val="21"/>
              </w:rPr>
            </w:pPr>
            <w:r>
              <w:rPr>
                <w:rFonts w:hint="eastAsia" w:ascii="宋体" w:hAnsi="宋体" w:cs="宋体"/>
                <w:kern w:val="0"/>
                <w:szCs w:val="21"/>
              </w:rPr>
              <w:t>1000≤Y＜5000</w:t>
            </w:r>
          </w:p>
        </w:tc>
        <w:tc>
          <w:tcPr>
            <w:tcW w:w="1201" w:type="dxa"/>
            <w:tcBorders>
              <w:top w:val="nil"/>
              <w:left w:val="nil"/>
              <w:bottom w:val="single" w:color="auto" w:sz="4" w:space="0"/>
              <w:right w:val="single" w:color="auto" w:sz="4" w:space="0"/>
            </w:tcBorders>
            <w:vAlign w:val="center"/>
          </w:tcPr>
          <w:p w14:paraId="2E7B1C01">
            <w:pPr>
              <w:widowControl/>
              <w:spacing w:line="340" w:lineRule="exact"/>
              <w:jc w:val="center"/>
              <w:rPr>
                <w:rFonts w:hint="eastAsia" w:ascii="宋体" w:hAnsi="宋体" w:cs="宋体"/>
                <w:kern w:val="0"/>
                <w:szCs w:val="21"/>
              </w:rPr>
            </w:pPr>
            <w:r>
              <w:rPr>
                <w:rFonts w:hint="eastAsia" w:ascii="宋体" w:hAnsi="宋体" w:cs="宋体"/>
                <w:kern w:val="0"/>
                <w:szCs w:val="21"/>
              </w:rPr>
              <w:t>Y＜1000</w:t>
            </w:r>
          </w:p>
        </w:tc>
      </w:tr>
      <w:tr w14:paraId="7AC2880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20A19568">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零售业</w:t>
            </w:r>
          </w:p>
        </w:tc>
        <w:tc>
          <w:tcPr>
            <w:tcW w:w="1497" w:type="dxa"/>
            <w:tcBorders>
              <w:top w:val="nil"/>
              <w:left w:val="nil"/>
              <w:bottom w:val="single" w:color="auto" w:sz="4" w:space="0"/>
              <w:right w:val="single" w:color="auto" w:sz="4" w:space="0"/>
            </w:tcBorders>
            <w:vAlign w:val="center"/>
          </w:tcPr>
          <w:p w14:paraId="71ED6815">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3BBEDB66">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23F3B5F1">
            <w:pPr>
              <w:widowControl/>
              <w:spacing w:line="340" w:lineRule="exact"/>
              <w:jc w:val="center"/>
              <w:rPr>
                <w:rFonts w:hint="eastAsia" w:ascii="宋体" w:hAnsi="宋体" w:cs="宋体"/>
                <w:kern w:val="0"/>
                <w:szCs w:val="21"/>
              </w:rPr>
            </w:pPr>
            <w:r>
              <w:rPr>
                <w:rFonts w:hint="eastAsia" w:ascii="宋体" w:hAnsi="宋体" w:cs="宋体"/>
                <w:kern w:val="0"/>
                <w:szCs w:val="21"/>
              </w:rPr>
              <w:t>50≤X＜300</w:t>
            </w:r>
          </w:p>
        </w:tc>
        <w:tc>
          <w:tcPr>
            <w:tcW w:w="1701" w:type="dxa"/>
            <w:tcBorders>
              <w:top w:val="nil"/>
              <w:left w:val="nil"/>
              <w:bottom w:val="single" w:color="auto" w:sz="4" w:space="0"/>
              <w:right w:val="single" w:color="auto" w:sz="4" w:space="0"/>
            </w:tcBorders>
            <w:vAlign w:val="center"/>
          </w:tcPr>
          <w:p w14:paraId="5797A8E1">
            <w:pPr>
              <w:widowControl/>
              <w:spacing w:line="340" w:lineRule="exact"/>
              <w:jc w:val="center"/>
              <w:rPr>
                <w:rFonts w:hint="eastAsia" w:ascii="宋体" w:hAnsi="宋体" w:cs="宋体"/>
                <w:kern w:val="0"/>
                <w:szCs w:val="21"/>
              </w:rPr>
            </w:pPr>
            <w:r>
              <w:rPr>
                <w:rFonts w:hint="eastAsia" w:ascii="宋体" w:hAnsi="宋体" w:cs="宋体"/>
                <w:kern w:val="0"/>
                <w:szCs w:val="21"/>
              </w:rPr>
              <w:t>10≤X＜50</w:t>
            </w:r>
          </w:p>
        </w:tc>
        <w:tc>
          <w:tcPr>
            <w:tcW w:w="1201" w:type="dxa"/>
            <w:tcBorders>
              <w:top w:val="nil"/>
              <w:left w:val="nil"/>
              <w:bottom w:val="single" w:color="auto" w:sz="4" w:space="0"/>
              <w:right w:val="single" w:color="auto" w:sz="4" w:space="0"/>
            </w:tcBorders>
            <w:vAlign w:val="center"/>
          </w:tcPr>
          <w:p w14:paraId="7036A0C5">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4A68CACA">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13E91BBC">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70D9AEC5">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6A12B399">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6A80F47B">
            <w:pPr>
              <w:widowControl/>
              <w:spacing w:line="340" w:lineRule="exact"/>
              <w:jc w:val="center"/>
              <w:rPr>
                <w:rFonts w:hint="eastAsia" w:ascii="宋体" w:hAnsi="宋体" w:cs="宋体"/>
                <w:kern w:val="0"/>
                <w:szCs w:val="21"/>
              </w:rPr>
            </w:pPr>
            <w:r>
              <w:rPr>
                <w:rFonts w:hint="eastAsia" w:ascii="宋体" w:hAnsi="宋体" w:cs="宋体"/>
                <w:kern w:val="0"/>
                <w:szCs w:val="21"/>
              </w:rPr>
              <w:t>500≤Y＜20000</w:t>
            </w:r>
          </w:p>
        </w:tc>
        <w:tc>
          <w:tcPr>
            <w:tcW w:w="1701" w:type="dxa"/>
            <w:tcBorders>
              <w:top w:val="nil"/>
              <w:left w:val="nil"/>
              <w:bottom w:val="single" w:color="auto" w:sz="4" w:space="0"/>
              <w:right w:val="single" w:color="auto" w:sz="4" w:space="0"/>
            </w:tcBorders>
            <w:vAlign w:val="center"/>
          </w:tcPr>
          <w:p w14:paraId="70301535">
            <w:pPr>
              <w:widowControl/>
              <w:spacing w:line="340" w:lineRule="exact"/>
              <w:jc w:val="center"/>
              <w:rPr>
                <w:rFonts w:hint="eastAsia" w:ascii="宋体" w:hAnsi="宋体" w:cs="宋体"/>
                <w:kern w:val="0"/>
                <w:szCs w:val="21"/>
              </w:rPr>
            </w:pPr>
            <w:r>
              <w:rPr>
                <w:rFonts w:hint="eastAsia" w:ascii="宋体" w:hAnsi="宋体" w:cs="宋体"/>
                <w:kern w:val="0"/>
                <w:szCs w:val="21"/>
              </w:rPr>
              <w:t>100≤Y＜500</w:t>
            </w:r>
          </w:p>
        </w:tc>
        <w:tc>
          <w:tcPr>
            <w:tcW w:w="1201" w:type="dxa"/>
            <w:tcBorders>
              <w:top w:val="nil"/>
              <w:left w:val="nil"/>
              <w:bottom w:val="single" w:color="auto" w:sz="4" w:space="0"/>
              <w:right w:val="single" w:color="auto" w:sz="4" w:space="0"/>
            </w:tcBorders>
            <w:vAlign w:val="center"/>
          </w:tcPr>
          <w:p w14:paraId="7FAA7C20">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23918555">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31388844">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交通运输业</w:t>
            </w:r>
          </w:p>
        </w:tc>
        <w:tc>
          <w:tcPr>
            <w:tcW w:w="1497" w:type="dxa"/>
            <w:tcBorders>
              <w:top w:val="nil"/>
              <w:left w:val="nil"/>
              <w:bottom w:val="single" w:color="auto" w:sz="4" w:space="0"/>
              <w:right w:val="single" w:color="auto" w:sz="4" w:space="0"/>
            </w:tcBorders>
            <w:vAlign w:val="center"/>
          </w:tcPr>
          <w:p w14:paraId="60D06D38">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36FAF95A">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553CBCC6">
            <w:pPr>
              <w:widowControl/>
              <w:spacing w:line="340" w:lineRule="exact"/>
              <w:jc w:val="center"/>
              <w:rPr>
                <w:rFonts w:hint="eastAsia"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1622D1EC">
            <w:pPr>
              <w:widowControl/>
              <w:spacing w:line="340" w:lineRule="exact"/>
              <w:jc w:val="center"/>
              <w:rPr>
                <w:rFonts w:hint="eastAsia" w:ascii="宋体" w:hAnsi="宋体" w:cs="宋体"/>
                <w:kern w:val="0"/>
                <w:szCs w:val="21"/>
              </w:rPr>
            </w:pPr>
            <w:r>
              <w:rPr>
                <w:rFonts w:hint="eastAsia" w:ascii="宋体" w:hAnsi="宋体" w:cs="宋体"/>
                <w:kern w:val="0"/>
                <w:szCs w:val="21"/>
              </w:rPr>
              <w:t>20≤X＜300</w:t>
            </w:r>
          </w:p>
        </w:tc>
        <w:tc>
          <w:tcPr>
            <w:tcW w:w="1201" w:type="dxa"/>
            <w:tcBorders>
              <w:top w:val="nil"/>
              <w:left w:val="nil"/>
              <w:bottom w:val="single" w:color="auto" w:sz="4" w:space="0"/>
              <w:right w:val="single" w:color="auto" w:sz="4" w:space="0"/>
            </w:tcBorders>
            <w:vAlign w:val="center"/>
          </w:tcPr>
          <w:p w14:paraId="50DC03FB">
            <w:pPr>
              <w:widowControl/>
              <w:spacing w:line="340" w:lineRule="exact"/>
              <w:jc w:val="center"/>
              <w:rPr>
                <w:rFonts w:hint="eastAsia" w:ascii="宋体" w:hAnsi="宋体" w:cs="宋体"/>
                <w:kern w:val="0"/>
                <w:szCs w:val="21"/>
              </w:rPr>
            </w:pPr>
            <w:r>
              <w:rPr>
                <w:rFonts w:hint="eastAsia" w:ascii="宋体" w:hAnsi="宋体" w:cs="宋体"/>
                <w:kern w:val="0"/>
                <w:szCs w:val="21"/>
              </w:rPr>
              <w:t>X＜20</w:t>
            </w:r>
          </w:p>
        </w:tc>
      </w:tr>
      <w:tr w14:paraId="259A52E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20B4DCDB">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55898244">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17575A33">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0D2C14CC">
            <w:pPr>
              <w:widowControl/>
              <w:spacing w:line="340" w:lineRule="exact"/>
              <w:jc w:val="center"/>
              <w:rPr>
                <w:rFonts w:hint="eastAsia" w:ascii="宋体" w:hAnsi="宋体" w:cs="宋体"/>
                <w:kern w:val="0"/>
                <w:szCs w:val="21"/>
              </w:rPr>
            </w:pPr>
            <w:r>
              <w:rPr>
                <w:rFonts w:hint="eastAsia" w:ascii="宋体" w:hAnsi="宋体" w:cs="宋体"/>
                <w:kern w:val="0"/>
                <w:szCs w:val="21"/>
              </w:rPr>
              <w:t>3000≤Y＜30000</w:t>
            </w:r>
          </w:p>
        </w:tc>
        <w:tc>
          <w:tcPr>
            <w:tcW w:w="1701" w:type="dxa"/>
            <w:tcBorders>
              <w:top w:val="nil"/>
              <w:left w:val="nil"/>
              <w:bottom w:val="single" w:color="auto" w:sz="4" w:space="0"/>
              <w:right w:val="single" w:color="auto" w:sz="4" w:space="0"/>
            </w:tcBorders>
            <w:vAlign w:val="center"/>
          </w:tcPr>
          <w:p w14:paraId="6F268769">
            <w:pPr>
              <w:widowControl/>
              <w:spacing w:line="340" w:lineRule="exact"/>
              <w:jc w:val="center"/>
              <w:rPr>
                <w:rFonts w:hint="eastAsia" w:ascii="宋体" w:hAnsi="宋体" w:cs="宋体"/>
                <w:kern w:val="0"/>
                <w:szCs w:val="21"/>
              </w:rPr>
            </w:pPr>
            <w:r>
              <w:rPr>
                <w:rFonts w:hint="eastAsia" w:ascii="宋体" w:hAnsi="宋体" w:cs="宋体"/>
                <w:kern w:val="0"/>
                <w:szCs w:val="21"/>
              </w:rPr>
              <w:t>200≤Y＜3000</w:t>
            </w:r>
          </w:p>
        </w:tc>
        <w:tc>
          <w:tcPr>
            <w:tcW w:w="1201" w:type="dxa"/>
            <w:tcBorders>
              <w:top w:val="nil"/>
              <w:left w:val="nil"/>
              <w:bottom w:val="single" w:color="auto" w:sz="4" w:space="0"/>
              <w:right w:val="single" w:color="auto" w:sz="4" w:space="0"/>
            </w:tcBorders>
            <w:vAlign w:val="center"/>
          </w:tcPr>
          <w:p w14:paraId="3425B4EA">
            <w:pPr>
              <w:widowControl/>
              <w:spacing w:line="340" w:lineRule="exact"/>
              <w:jc w:val="center"/>
              <w:rPr>
                <w:rFonts w:hint="eastAsia" w:ascii="宋体" w:hAnsi="宋体" w:cs="宋体"/>
                <w:kern w:val="0"/>
                <w:szCs w:val="21"/>
              </w:rPr>
            </w:pPr>
            <w:r>
              <w:rPr>
                <w:rFonts w:hint="eastAsia" w:ascii="宋体" w:hAnsi="宋体" w:cs="宋体"/>
                <w:kern w:val="0"/>
                <w:szCs w:val="21"/>
              </w:rPr>
              <w:t>Y＜200</w:t>
            </w:r>
          </w:p>
        </w:tc>
      </w:tr>
      <w:tr w14:paraId="7F055FE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2C6AE586">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仓储业</w:t>
            </w:r>
          </w:p>
        </w:tc>
        <w:tc>
          <w:tcPr>
            <w:tcW w:w="1497" w:type="dxa"/>
            <w:tcBorders>
              <w:top w:val="nil"/>
              <w:left w:val="nil"/>
              <w:bottom w:val="single" w:color="auto" w:sz="4" w:space="0"/>
              <w:right w:val="single" w:color="auto" w:sz="4" w:space="0"/>
            </w:tcBorders>
            <w:vAlign w:val="center"/>
          </w:tcPr>
          <w:p w14:paraId="1BF4005A">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7ABE38C9">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6E956AC8">
            <w:pPr>
              <w:widowControl/>
              <w:spacing w:line="340" w:lineRule="exact"/>
              <w:jc w:val="center"/>
              <w:rPr>
                <w:rFonts w:hint="eastAsia" w:ascii="宋体" w:hAnsi="宋体" w:cs="宋体"/>
                <w:kern w:val="0"/>
                <w:szCs w:val="21"/>
              </w:rPr>
            </w:pPr>
            <w:r>
              <w:rPr>
                <w:rFonts w:hint="eastAsia" w:ascii="宋体" w:hAnsi="宋体" w:cs="宋体"/>
                <w:kern w:val="0"/>
                <w:szCs w:val="21"/>
              </w:rPr>
              <w:t>100≤X＜200</w:t>
            </w:r>
          </w:p>
        </w:tc>
        <w:tc>
          <w:tcPr>
            <w:tcW w:w="1701" w:type="dxa"/>
            <w:tcBorders>
              <w:top w:val="nil"/>
              <w:left w:val="nil"/>
              <w:bottom w:val="single" w:color="auto" w:sz="4" w:space="0"/>
              <w:right w:val="single" w:color="auto" w:sz="4" w:space="0"/>
            </w:tcBorders>
            <w:vAlign w:val="center"/>
          </w:tcPr>
          <w:p w14:paraId="752E6CEB">
            <w:pPr>
              <w:widowControl/>
              <w:spacing w:line="340" w:lineRule="exact"/>
              <w:jc w:val="center"/>
              <w:rPr>
                <w:rFonts w:hint="eastAsia" w:ascii="宋体" w:hAnsi="宋体" w:cs="宋体"/>
                <w:kern w:val="0"/>
                <w:szCs w:val="21"/>
              </w:rPr>
            </w:pPr>
            <w:r>
              <w:rPr>
                <w:rFonts w:hint="eastAsia" w:ascii="宋体" w:hAnsi="宋体" w:cs="宋体"/>
                <w:kern w:val="0"/>
                <w:szCs w:val="21"/>
              </w:rPr>
              <w:t>20≤X＜100</w:t>
            </w:r>
          </w:p>
        </w:tc>
        <w:tc>
          <w:tcPr>
            <w:tcW w:w="1201" w:type="dxa"/>
            <w:tcBorders>
              <w:top w:val="nil"/>
              <w:left w:val="nil"/>
              <w:bottom w:val="single" w:color="auto" w:sz="4" w:space="0"/>
              <w:right w:val="single" w:color="auto" w:sz="4" w:space="0"/>
            </w:tcBorders>
            <w:vAlign w:val="center"/>
          </w:tcPr>
          <w:p w14:paraId="111573BA">
            <w:pPr>
              <w:widowControl/>
              <w:spacing w:line="340" w:lineRule="exact"/>
              <w:jc w:val="center"/>
              <w:rPr>
                <w:rFonts w:hint="eastAsia" w:ascii="宋体" w:hAnsi="宋体" w:cs="宋体"/>
                <w:kern w:val="0"/>
                <w:szCs w:val="21"/>
              </w:rPr>
            </w:pPr>
            <w:r>
              <w:rPr>
                <w:rFonts w:hint="eastAsia" w:ascii="宋体" w:hAnsi="宋体" w:cs="宋体"/>
                <w:kern w:val="0"/>
                <w:szCs w:val="21"/>
              </w:rPr>
              <w:t>X＜20</w:t>
            </w:r>
          </w:p>
        </w:tc>
      </w:tr>
      <w:tr w14:paraId="3CF0F465">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C3C85F3">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08EB5FC5">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48C5CDA6">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676F4546">
            <w:pPr>
              <w:widowControl/>
              <w:spacing w:line="340" w:lineRule="exact"/>
              <w:jc w:val="center"/>
              <w:rPr>
                <w:rFonts w:hint="eastAsia" w:ascii="宋体" w:hAnsi="宋体" w:cs="宋体"/>
                <w:kern w:val="0"/>
                <w:szCs w:val="21"/>
              </w:rPr>
            </w:pPr>
            <w:r>
              <w:rPr>
                <w:rFonts w:hint="eastAsia" w:ascii="宋体" w:hAnsi="宋体" w:cs="宋体"/>
                <w:kern w:val="0"/>
                <w:szCs w:val="21"/>
              </w:rPr>
              <w:t>1000≤Y＜30000</w:t>
            </w:r>
          </w:p>
        </w:tc>
        <w:tc>
          <w:tcPr>
            <w:tcW w:w="1701" w:type="dxa"/>
            <w:tcBorders>
              <w:top w:val="nil"/>
              <w:left w:val="nil"/>
              <w:bottom w:val="single" w:color="auto" w:sz="4" w:space="0"/>
              <w:right w:val="single" w:color="auto" w:sz="4" w:space="0"/>
            </w:tcBorders>
            <w:vAlign w:val="center"/>
          </w:tcPr>
          <w:p w14:paraId="32C184D1">
            <w:pPr>
              <w:widowControl/>
              <w:spacing w:line="340" w:lineRule="exact"/>
              <w:jc w:val="center"/>
              <w:rPr>
                <w:rFonts w:hint="eastAsia" w:ascii="宋体" w:hAnsi="宋体" w:cs="宋体"/>
                <w:kern w:val="0"/>
                <w:szCs w:val="21"/>
              </w:rPr>
            </w:pPr>
            <w:r>
              <w:rPr>
                <w:rFonts w:hint="eastAsia" w:ascii="宋体" w:hAnsi="宋体" w:cs="宋体"/>
                <w:kern w:val="0"/>
                <w:szCs w:val="21"/>
              </w:rPr>
              <w:t>100≤Y＜1000</w:t>
            </w:r>
          </w:p>
        </w:tc>
        <w:tc>
          <w:tcPr>
            <w:tcW w:w="1201" w:type="dxa"/>
            <w:tcBorders>
              <w:top w:val="nil"/>
              <w:left w:val="nil"/>
              <w:bottom w:val="single" w:color="auto" w:sz="4" w:space="0"/>
              <w:right w:val="single" w:color="auto" w:sz="4" w:space="0"/>
            </w:tcBorders>
            <w:vAlign w:val="center"/>
          </w:tcPr>
          <w:p w14:paraId="45111F77">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2AD1B5C0">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2DC8A35">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邮政业</w:t>
            </w:r>
          </w:p>
        </w:tc>
        <w:tc>
          <w:tcPr>
            <w:tcW w:w="1497" w:type="dxa"/>
            <w:tcBorders>
              <w:top w:val="nil"/>
              <w:left w:val="nil"/>
              <w:bottom w:val="single" w:color="auto" w:sz="4" w:space="0"/>
              <w:right w:val="single" w:color="auto" w:sz="4" w:space="0"/>
            </w:tcBorders>
            <w:vAlign w:val="center"/>
          </w:tcPr>
          <w:p w14:paraId="61AEB99E">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0713BC3E">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1B2958D6">
            <w:pPr>
              <w:widowControl/>
              <w:spacing w:line="340" w:lineRule="exact"/>
              <w:jc w:val="center"/>
              <w:rPr>
                <w:rFonts w:hint="eastAsia"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1C41DA11">
            <w:pPr>
              <w:widowControl/>
              <w:spacing w:line="340" w:lineRule="exact"/>
              <w:jc w:val="center"/>
              <w:rPr>
                <w:rFonts w:hint="eastAsia" w:ascii="宋体" w:hAnsi="宋体" w:cs="宋体"/>
                <w:kern w:val="0"/>
                <w:szCs w:val="21"/>
              </w:rPr>
            </w:pPr>
            <w:r>
              <w:rPr>
                <w:rFonts w:hint="eastAsia" w:ascii="宋体" w:hAnsi="宋体" w:cs="宋体"/>
                <w:kern w:val="0"/>
                <w:szCs w:val="21"/>
              </w:rPr>
              <w:t>20≤X＜300</w:t>
            </w:r>
          </w:p>
        </w:tc>
        <w:tc>
          <w:tcPr>
            <w:tcW w:w="1201" w:type="dxa"/>
            <w:tcBorders>
              <w:top w:val="nil"/>
              <w:left w:val="nil"/>
              <w:bottom w:val="single" w:color="auto" w:sz="4" w:space="0"/>
              <w:right w:val="single" w:color="auto" w:sz="4" w:space="0"/>
            </w:tcBorders>
            <w:vAlign w:val="center"/>
          </w:tcPr>
          <w:p w14:paraId="25578D3A">
            <w:pPr>
              <w:widowControl/>
              <w:spacing w:line="340" w:lineRule="exact"/>
              <w:jc w:val="center"/>
              <w:rPr>
                <w:rFonts w:hint="eastAsia" w:ascii="宋体" w:hAnsi="宋体" w:cs="宋体"/>
                <w:kern w:val="0"/>
                <w:szCs w:val="21"/>
              </w:rPr>
            </w:pPr>
            <w:r>
              <w:rPr>
                <w:rFonts w:hint="eastAsia" w:ascii="宋体" w:hAnsi="宋体" w:cs="宋体"/>
                <w:kern w:val="0"/>
                <w:szCs w:val="21"/>
              </w:rPr>
              <w:t>X＜20</w:t>
            </w:r>
          </w:p>
        </w:tc>
      </w:tr>
      <w:tr w14:paraId="76F9F46C">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A364BC2">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2005367B">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0307E0D5">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6048FE2E">
            <w:pPr>
              <w:widowControl/>
              <w:spacing w:line="340" w:lineRule="exact"/>
              <w:jc w:val="center"/>
              <w:rPr>
                <w:rFonts w:hint="eastAsia" w:ascii="宋体" w:hAnsi="宋体" w:cs="宋体"/>
                <w:kern w:val="0"/>
                <w:szCs w:val="21"/>
              </w:rPr>
            </w:pPr>
            <w:r>
              <w:rPr>
                <w:rFonts w:hint="eastAsia" w:ascii="宋体" w:hAnsi="宋体" w:cs="宋体"/>
                <w:kern w:val="0"/>
                <w:szCs w:val="21"/>
              </w:rPr>
              <w:t>2000≤Y＜30000</w:t>
            </w:r>
          </w:p>
        </w:tc>
        <w:tc>
          <w:tcPr>
            <w:tcW w:w="1701" w:type="dxa"/>
            <w:tcBorders>
              <w:top w:val="nil"/>
              <w:left w:val="nil"/>
              <w:bottom w:val="single" w:color="auto" w:sz="4" w:space="0"/>
              <w:right w:val="single" w:color="auto" w:sz="4" w:space="0"/>
            </w:tcBorders>
            <w:vAlign w:val="center"/>
          </w:tcPr>
          <w:p w14:paraId="6B4C0A65">
            <w:pPr>
              <w:widowControl/>
              <w:spacing w:line="340" w:lineRule="exact"/>
              <w:jc w:val="center"/>
              <w:rPr>
                <w:rFonts w:hint="eastAsia" w:ascii="宋体" w:hAnsi="宋体" w:cs="宋体"/>
                <w:kern w:val="0"/>
                <w:szCs w:val="21"/>
              </w:rPr>
            </w:pPr>
            <w:r>
              <w:rPr>
                <w:rFonts w:hint="eastAsia" w:ascii="宋体" w:hAnsi="宋体" w:cs="宋体"/>
                <w:kern w:val="0"/>
                <w:szCs w:val="21"/>
              </w:rPr>
              <w:t>100≤Y＜2000</w:t>
            </w:r>
          </w:p>
        </w:tc>
        <w:tc>
          <w:tcPr>
            <w:tcW w:w="1201" w:type="dxa"/>
            <w:tcBorders>
              <w:top w:val="nil"/>
              <w:left w:val="nil"/>
              <w:bottom w:val="single" w:color="auto" w:sz="4" w:space="0"/>
              <w:right w:val="single" w:color="auto" w:sz="4" w:space="0"/>
            </w:tcBorders>
            <w:vAlign w:val="center"/>
          </w:tcPr>
          <w:p w14:paraId="5F37B3CF">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1929046E">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E22C679">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住宿业</w:t>
            </w:r>
          </w:p>
        </w:tc>
        <w:tc>
          <w:tcPr>
            <w:tcW w:w="1497" w:type="dxa"/>
            <w:tcBorders>
              <w:top w:val="nil"/>
              <w:left w:val="nil"/>
              <w:bottom w:val="single" w:color="auto" w:sz="4" w:space="0"/>
              <w:right w:val="single" w:color="auto" w:sz="4" w:space="0"/>
            </w:tcBorders>
            <w:vAlign w:val="center"/>
          </w:tcPr>
          <w:p w14:paraId="4724F7E2">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7046708A">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59585D5C">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2E027CBF">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30787B90">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2A99B1FC">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59B9D84">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4DF6BB93">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0D86E274">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0AAA2CC6">
            <w:pPr>
              <w:widowControl/>
              <w:spacing w:line="340" w:lineRule="exact"/>
              <w:jc w:val="center"/>
              <w:rPr>
                <w:rFonts w:hint="eastAsia"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3D8456FC">
            <w:pPr>
              <w:widowControl/>
              <w:spacing w:line="340" w:lineRule="exact"/>
              <w:jc w:val="center"/>
              <w:rPr>
                <w:rFonts w:hint="eastAsia" w:ascii="宋体" w:hAnsi="宋体" w:cs="宋体"/>
                <w:kern w:val="0"/>
                <w:szCs w:val="21"/>
              </w:rPr>
            </w:pPr>
            <w:r>
              <w:rPr>
                <w:rFonts w:hint="eastAsia" w:ascii="宋体" w:hAnsi="宋体" w:cs="宋体"/>
                <w:kern w:val="0"/>
                <w:szCs w:val="21"/>
              </w:rPr>
              <w:t>100≤Y＜2000</w:t>
            </w:r>
          </w:p>
        </w:tc>
        <w:tc>
          <w:tcPr>
            <w:tcW w:w="1201" w:type="dxa"/>
            <w:tcBorders>
              <w:top w:val="nil"/>
              <w:left w:val="nil"/>
              <w:bottom w:val="single" w:color="auto" w:sz="4" w:space="0"/>
              <w:right w:val="single" w:color="auto" w:sz="4" w:space="0"/>
            </w:tcBorders>
            <w:vAlign w:val="center"/>
          </w:tcPr>
          <w:p w14:paraId="1909DE16">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3120E69D">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654DC8AB">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餐饮业</w:t>
            </w:r>
          </w:p>
        </w:tc>
        <w:tc>
          <w:tcPr>
            <w:tcW w:w="1497" w:type="dxa"/>
            <w:tcBorders>
              <w:top w:val="nil"/>
              <w:left w:val="nil"/>
              <w:bottom w:val="single" w:color="auto" w:sz="4" w:space="0"/>
              <w:right w:val="single" w:color="auto" w:sz="4" w:space="0"/>
            </w:tcBorders>
            <w:vAlign w:val="center"/>
          </w:tcPr>
          <w:p w14:paraId="741823D5">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5D2388CE">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37442C5D">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4D66CA58">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7B6D74A5">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279B25C1">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563BD480">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50540692">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428CE13C">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31A99E9A">
            <w:pPr>
              <w:widowControl/>
              <w:spacing w:line="340" w:lineRule="exact"/>
              <w:jc w:val="center"/>
              <w:rPr>
                <w:rFonts w:hint="eastAsia" w:ascii="宋体" w:hAnsi="宋体" w:cs="宋体"/>
                <w:kern w:val="0"/>
                <w:szCs w:val="21"/>
              </w:rPr>
            </w:pPr>
            <w:r>
              <w:rPr>
                <w:rFonts w:hint="eastAsia" w:ascii="宋体" w:hAnsi="宋体" w:cs="宋体"/>
                <w:kern w:val="0"/>
                <w:szCs w:val="21"/>
              </w:rPr>
              <w:t>2000≤Y＜10000</w:t>
            </w:r>
          </w:p>
        </w:tc>
        <w:tc>
          <w:tcPr>
            <w:tcW w:w="1701" w:type="dxa"/>
            <w:tcBorders>
              <w:top w:val="nil"/>
              <w:left w:val="nil"/>
              <w:bottom w:val="single" w:color="auto" w:sz="4" w:space="0"/>
              <w:right w:val="single" w:color="auto" w:sz="4" w:space="0"/>
            </w:tcBorders>
            <w:vAlign w:val="center"/>
          </w:tcPr>
          <w:p w14:paraId="533651AF">
            <w:pPr>
              <w:widowControl/>
              <w:spacing w:line="340" w:lineRule="exact"/>
              <w:jc w:val="center"/>
              <w:rPr>
                <w:rFonts w:hint="eastAsia" w:ascii="宋体" w:hAnsi="宋体" w:cs="宋体"/>
                <w:kern w:val="0"/>
                <w:szCs w:val="21"/>
              </w:rPr>
            </w:pPr>
            <w:r>
              <w:rPr>
                <w:rFonts w:hint="eastAsia" w:ascii="宋体" w:hAnsi="宋体" w:cs="宋体"/>
                <w:kern w:val="0"/>
                <w:szCs w:val="21"/>
              </w:rPr>
              <w:t>100≤Y＜2000</w:t>
            </w:r>
          </w:p>
        </w:tc>
        <w:tc>
          <w:tcPr>
            <w:tcW w:w="1201" w:type="dxa"/>
            <w:tcBorders>
              <w:top w:val="nil"/>
              <w:left w:val="nil"/>
              <w:bottom w:val="single" w:color="auto" w:sz="4" w:space="0"/>
              <w:right w:val="single" w:color="auto" w:sz="4" w:space="0"/>
            </w:tcBorders>
            <w:vAlign w:val="center"/>
          </w:tcPr>
          <w:p w14:paraId="65E89B4F">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56BD3882">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060420DA">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信息传输业</w:t>
            </w:r>
          </w:p>
        </w:tc>
        <w:tc>
          <w:tcPr>
            <w:tcW w:w="1497" w:type="dxa"/>
            <w:tcBorders>
              <w:top w:val="nil"/>
              <w:left w:val="nil"/>
              <w:bottom w:val="single" w:color="auto" w:sz="4" w:space="0"/>
              <w:right w:val="single" w:color="auto" w:sz="4" w:space="0"/>
            </w:tcBorders>
            <w:vAlign w:val="center"/>
          </w:tcPr>
          <w:p w14:paraId="676D0676">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5C9DD0B4">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2D5C828D">
            <w:pPr>
              <w:widowControl/>
              <w:spacing w:line="340" w:lineRule="exact"/>
              <w:jc w:val="center"/>
              <w:rPr>
                <w:rFonts w:hint="eastAsia" w:ascii="宋体" w:hAnsi="宋体" w:cs="宋体"/>
                <w:kern w:val="0"/>
                <w:szCs w:val="21"/>
              </w:rPr>
            </w:pPr>
            <w:r>
              <w:rPr>
                <w:rFonts w:hint="eastAsia" w:ascii="宋体" w:hAnsi="宋体" w:cs="宋体"/>
                <w:kern w:val="0"/>
                <w:szCs w:val="21"/>
              </w:rPr>
              <w:t>100≤X＜2000</w:t>
            </w:r>
          </w:p>
        </w:tc>
        <w:tc>
          <w:tcPr>
            <w:tcW w:w="1701" w:type="dxa"/>
            <w:tcBorders>
              <w:top w:val="nil"/>
              <w:left w:val="nil"/>
              <w:bottom w:val="single" w:color="auto" w:sz="4" w:space="0"/>
              <w:right w:val="single" w:color="auto" w:sz="4" w:space="0"/>
            </w:tcBorders>
            <w:vAlign w:val="center"/>
          </w:tcPr>
          <w:p w14:paraId="51092A0C">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679EEB7E">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4398539A">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42DB71B">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58D66584">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34016992">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353BE01B">
            <w:pPr>
              <w:widowControl/>
              <w:spacing w:line="340" w:lineRule="exact"/>
              <w:jc w:val="center"/>
              <w:rPr>
                <w:rFonts w:hint="eastAsia" w:ascii="宋体" w:hAnsi="宋体" w:cs="宋体"/>
                <w:kern w:val="0"/>
                <w:szCs w:val="21"/>
              </w:rPr>
            </w:pPr>
            <w:r>
              <w:rPr>
                <w:rFonts w:hint="eastAsia" w:ascii="宋体" w:hAnsi="宋体" w:cs="宋体"/>
                <w:kern w:val="0"/>
                <w:szCs w:val="21"/>
              </w:rPr>
              <w:t>1000≤Y＜100000</w:t>
            </w:r>
          </w:p>
        </w:tc>
        <w:tc>
          <w:tcPr>
            <w:tcW w:w="1701" w:type="dxa"/>
            <w:tcBorders>
              <w:top w:val="nil"/>
              <w:left w:val="nil"/>
              <w:bottom w:val="single" w:color="auto" w:sz="4" w:space="0"/>
              <w:right w:val="single" w:color="auto" w:sz="4" w:space="0"/>
            </w:tcBorders>
            <w:vAlign w:val="center"/>
          </w:tcPr>
          <w:p w14:paraId="55112C05">
            <w:pPr>
              <w:widowControl/>
              <w:spacing w:line="340" w:lineRule="exact"/>
              <w:jc w:val="center"/>
              <w:rPr>
                <w:rFonts w:hint="eastAsia" w:ascii="宋体" w:hAnsi="宋体" w:cs="宋体"/>
                <w:kern w:val="0"/>
                <w:szCs w:val="21"/>
              </w:rPr>
            </w:pPr>
            <w:r>
              <w:rPr>
                <w:rFonts w:hint="eastAsia" w:ascii="宋体" w:hAnsi="宋体" w:cs="宋体"/>
                <w:kern w:val="0"/>
                <w:szCs w:val="21"/>
              </w:rPr>
              <w:t>100≤Y＜1000</w:t>
            </w:r>
          </w:p>
        </w:tc>
        <w:tc>
          <w:tcPr>
            <w:tcW w:w="1201" w:type="dxa"/>
            <w:tcBorders>
              <w:top w:val="nil"/>
              <w:left w:val="nil"/>
              <w:bottom w:val="single" w:color="auto" w:sz="4" w:space="0"/>
              <w:right w:val="single" w:color="auto" w:sz="4" w:space="0"/>
            </w:tcBorders>
            <w:vAlign w:val="center"/>
          </w:tcPr>
          <w:p w14:paraId="0ED2AF36">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41E6BC24">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5CC227F">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软件和信息技术服务业</w:t>
            </w:r>
          </w:p>
        </w:tc>
        <w:tc>
          <w:tcPr>
            <w:tcW w:w="1497" w:type="dxa"/>
            <w:tcBorders>
              <w:top w:val="nil"/>
              <w:left w:val="nil"/>
              <w:bottom w:val="single" w:color="auto" w:sz="4" w:space="0"/>
              <w:right w:val="single" w:color="auto" w:sz="4" w:space="0"/>
            </w:tcBorders>
            <w:vAlign w:val="center"/>
          </w:tcPr>
          <w:p w14:paraId="43543D06">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11B5F5AF">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0C9F00A3">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4AE81A52">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4546A2F7">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370EE9B3">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BCC85D2">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0036B3D7">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4D9DFDD2">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411F3C67">
            <w:pPr>
              <w:widowControl/>
              <w:spacing w:line="340" w:lineRule="exact"/>
              <w:jc w:val="center"/>
              <w:rPr>
                <w:rFonts w:hint="eastAsia" w:ascii="宋体" w:hAnsi="宋体" w:cs="宋体"/>
                <w:kern w:val="0"/>
                <w:szCs w:val="21"/>
              </w:rPr>
            </w:pPr>
            <w:r>
              <w:rPr>
                <w:rFonts w:hint="eastAsia" w:ascii="宋体" w:hAnsi="宋体" w:cs="宋体"/>
                <w:kern w:val="0"/>
                <w:szCs w:val="21"/>
              </w:rPr>
              <w:t>1000≤Y＜10000</w:t>
            </w:r>
          </w:p>
        </w:tc>
        <w:tc>
          <w:tcPr>
            <w:tcW w:w="1701" w:type="dxa"/>
            <w:tcBorders>
              <w:top w:val="nil"/>
              <w:left w:val="nil"/>
              <w:bottom w:val="single" w:color="auto" w:sz="4" w:space="0"/>
              <w:right w:val="single" w:color="auto" w:sz="4" w:space="0"/>
            </w:tcBorders>
            <w:vAlign w:val="center"/>
          </w:tcPr>
          <w:p w14:paraId="665D1ED9">
            <w:pPr>
              <w:widowControl/>
              <w:spacing w:line="340" w:lineRule="exact"/>
              <w:jc w:val="center"/>
              <w:rPr>
                <w:rFonts w:hint="eastAsia" w:ascii="宋体" w:hAnsi="宋体" w:cs="宋体"/>
                <w:kern w:val="0"/>
                <w:szCs w:val="21"/>
              </w:rPr>
            </w:pPr>
            <w:r>
              <w:rPr>
                <w:rFonts w:hint="eastAsia" w:ascii="宋体" w:hAnsi="宋体" w:cs="宋体"/>
                <w:kern w:val="0"/>
                <w:szCs w:val="21"/>
              </w:rPr>
              <w:t>50≤Y＜1000</w:t>
            </w:r>
          </w:p>
        </w:tc>
        <w:tc>
          <w:tcPr>
            <w:tcW w:w="1201" w:type="dxa"/>
            <w:tcBorders>
              <w:top w:val="nil"/>
              <w:left w:val="nil"/>
              <w:bottom w:val="single" w:color="auto" w:sz="4" w:space="0"/>
              <w:right w:val="single" w:color="auto" w:sz="4" w:space="0"/>
            </w:tcBorders>
            <w:vAlign w:val="center"/>
          </w:tcPr>
          <w:p w14:paraId="1D754619">
            <w:pPr>
              <w:widowControl/>
              <w:spacing w:line="340" w:lineRule="exact"/>
              <w:jc w:val="center"/>
              <w:rPr>
                <w:rFonts w:hint="eastAsia" w:ascii="宋体" w:hAnsi="宋体" w:cs="宋体"/>
                <w:kern w:val="0"/>
                <w:szCs w:val="21"/>
              </w:rPr>
            </w:pPr>
            <w:r>
              <w:rPr>
                <w:rFonts w:hint="eastAsia" w:ascii="宋体" w:hAnsi="宋体" w:cs="宋体"/>
                <w:kern w:val="0"/>
                <w:szCs w:val="21"/>
              </w:rPr>
              <w:t>Y＜50</w:t>
            </w:r>
          </w:p>
        </w:tc>
      </w:tr>
      <w:tr w14:paraId="700B82E6">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2284FD8">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房地产开发经营</w:t>
            </w:r>
          </w:p>
        </w:tc>
        <w:tc>
          <w:tcPr>
            <w:tcW w:w="1497" w:type="dxa"/>
            <w:tcBorders>
              <w:top w:val="nil"/>
              <w:left w:val="nil"/>
              <w:bottom w:val="single" w:color="auto" w:sz="4" w:space="0"/>
              <w:right w:val="single" w:color="auto" w:sz="4" w:space="0"/>
            </w:tcBorders>
            <w:vAlign w:val="center"/>
          </w:tcPr>
          <w:p w14:paraId="6F8BE6CF">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65228F21">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79D9CF9C">
            <w:pPr>
              <w:widowControl/>
              <w:spacing w:line="340" w:lineRule="exact"/>
              <w:jc w:val="center"/>
              <w:rPr>
                <w:rFonts w:hint="eastAsia" w:ascii="宋体" w:hAnsi="宋体" w:cs="宋体"/>
                <w:kern w:val="0"/>
                <w:szCs w:val="21"/>
              </w:rPr>
            </w:pPr>
            <w:r>
              <w:rPr>
                <w:rFonts w:hint="eastAsia" w:ascii="宋体" w:hAnsi="宋体" w:cs="宋体"/>
                <w:kern w:val="0"/>
                <w:szCs w:val="21"/>
              </w:rPr>
              <w:t>1000≤Y＜200000</w:t>
            </w:r>
          </w:p>
        </w:tc>
        <w:tc>
          <w:tcPr>
            <w:tcW w:w="1701" w:type="dxa"/>
            <w:tcBorders>
              <w:top w:val="nil"/>
              <w:left w:val="nil"/>
              <w:bottom w:val="single" w:color="auto" w:sz="4" w:space="0"/>
              <w:right w:val="single" w:color="auto" w:sz="4" w:space="0"/>
            </w:tcBorders>
            <w:vAlign w:val="center"/>
          </w:tcPr>
          <w:p w14:paraId="33FE7FB8">
            <w:pPr>
              <w:widowControl/>
              <w:spacing w:line="340" w:lineRule="exact"/>
              <w:jc w:val="center"/>
              <w:rPr>
                <w:rFonts w:hint="eastAsia" w:ascii="宋体" w:hAnsi="宋体" w:cs="宋体"/>
                <w:kern w:val="0"/>
                <w:szCs w:val="21"/>
              </w:rPr>
            </w:pPr>
            <w:r>
              <w:rPr>
                <w:rFonts w:hint="eastAsia" w:ascii="宋体" w:hAnsi="宋体" w:cs="宋体"/>
                <w:kern w:val="0"/>
                <w:szCs w:val="21"/>
              </w:rPr>
              <w:t>100≤X＜1000</w:t>
            </w:r>
          </w:p>
        </w:tc>
        <w:tc>
          <w:tcPr>
            <w:tcW w:w="1201" w:type="dxa"/>
            <w:tcBorders>
              <w:top w:val="nil"/>
              <w:left w:val="nil"/>
              <w:bottom w:val="single" w:color="auto" w:sz="4" w:space="0"/>
              <w:right w:val="single" w:color="auto" w:sz="4" w:space="0"/>
            </w:tcBorders>
            <w:vAlign w:val="center"/>
          </w:tcPr>
          <w:p w14:paraId="45768CFC">
            <w:pPr>
              <w:widowControl/>
              <w:spacing w:line="340" w:lineRule="exact"/>
              <w:jc w:val="center"/>
              <w:rPr>
                <w:rFonts w:hint="eastAsia" w:ascii="宋体" w:hAnsi="宋体" w:cs="宋体"/>
                <w:kern w:val="0"/>
                <w:szCs w:val="21"/>
              </w:rPr>
            </w:pPr>
            <w:r>
              <w:rPr>
                <w:rFonts w:hint="eastAsia" w:ascii="宋体" w:hAnsi="宋体" w:cs="宋体"/>
                <w:kern w:val="0"/>
                <w:szCs w:val="21"/>
              </w:rPr>
              <w:t>X＜100</w:t>
            </w:r>
          </w:p>
        </w:tc>
      </w:tr>
      <w:tr w14:paraId="2703BBAB">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04A9AC37">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7C407ACA">
            <w:pPr>
              <w:widowControl/>
              <w:spacing w:line="340" w:lineRule="exact"/>
              <w:jc w:val="center"/>
              <w:rPr>
                <w:rFonts w:hint="eastAsia" w:ascii="宋体" w:hAnsi="宋体" w:cs="宋体"/>
                <w:kern w:val="0"/>
                <w:szCs w:val="21"/>
              </w:rPr>
            </w:pPr>
            <w:r>
              <w:rPr>
                <w:rFonts w:hint="eastAsia" w:ascii="宋体" w:hAnsi="宋体" w:cs="宋体"/>
                <w:kern w:val="0"/>
                <w:szCs w:val="21"/>
              </w:rPr>
              <w:t>资产总额（Z）</w:t>
            </w:r>
          </w:p>
        </w:tc>
        <w:tc>
          <w:tcPr>
            <w:tcW w:w="1179" w:type="dxa"/>
            <w:tcBorders>
              <w:top w:val="nil"/>
              <w:left w:val="nil"/>
              <w:bottom w:val="single" w:color="auto" w:sz="4" w:space="0"/>
              <w:right w:val="single" w:color="auto" w:sz="4" w:space="0"/>
            </w:tcBorders>
            <w:vAlign w:val="center"/>
          </w:tcPr>
          <w:p w14:paraId="50B39C28">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157A7F47">
            <w:pPr>
              <w:widowControl/>
              <w:spacing w:line="340" w:lineRule="exact"/>
              <w:jc w:val="center"/>
              <w:rPr>
                <w:rFonts w:hint="eastAsia" w:ascii="宋体" w:hAnsi="宋体" w:cs="宋体"/>
                <w:kern w:val="0"/>
                <w:szCs w:val="21"/>
              </w:rPr>
            </w:pPr>
            <w:r>
              <w:rPr>
                <w:rFonts w:hint="eastAsia" w:ascii="宋体" w:hAnsi="宋体" w:cs="宋体"/>
                <w:kern w:val="0"/>
                <w:szCs w:val="21"/>
              </w:rPr>
              <w:t>5000≤Z＜10000</w:t>
            </w:r>
          </w:p>
        </w:tc>
        <w:tc>
          <w:tcPr>
            <w:tcW w:w="1701" w:type="dxa"/>
            <w:tcBorders>
              <w:top w:val="nil"/>
              <w:left w:val="nil"/>
              <w:bottom w:val="single" w:color="auto" w:sz="4" w:space="0"/>
              <w:right w:val="single" w:color="auto" w:sz="4" w:space="0"/>
            </w:tcBorders>
            <w:vAlign w:val="center"/>
          </w:tcPr>
          <w:p w14:paraId="17718AFB">
            <w:pPr>
              <w:widowControl/>
              <w:spacing w:line="340" w:lineRule="exact"/>
              <w:jc w:val="center"/>
              <w:rPr>
                <w:rFonts w:hint="eastAsia" w:ascii="宋体" w:hAnsi="宋体" w:cs="宋体"/>
                <w:kern w:val="0"/>
                <w:szCs w:val="21"/>
              </w:rPr>
            </w:pPr>
            <w:r>
              <w:rPr>
                <w:rFonts w:hint="eastAsia" w:ascii="宋体" w:hAnsi="宋体" w:cs="宋体"/>
                <w:kern w:val="0"/>
                <w:szCs w:val="21"/>
              </w:rPr>
              <w:t>2000≤Y＜5000</w:t>
            </w:r>
          </w:p>
        </w:tc>
        <w:tc>
          <w:tcPr>
            <w:tcW w:w="1201" w:type="dxa"/>
            <w:tcBorders>
              <w:top w:val="nil"/>
              <w:left w:val="nil"/>
              <w:bottom w:val="single" w:color="auto" w:sz="4" w:space="0"/>
              <w:right w:val="single" w:color="auto" w:sz="4" w:space="0"/>
            </w:tcBorders>
            <w:vAlign w:val="center"/>
          </w:tcPr>
          <w:p w14:paraId="79ED7DE5">
            <w:pPr>
              <w:widowControl/>
              <w:spacing w:line="340" w:lineRule="exact"/>
              <w:jc w:val="center"/>
              <w:rPr>
                <w:rFonts w:hint="eastAsia" w:ascii="宋体" w:hAnsi="宋体" w:cs="宋体"/>
                <w:kern w:val="0"/>
                <w:szCs w:val="21"/>
              </w:rPr>
            </w:pPr>
            <w:r>
              <w:rPr>
                <w:rFonts w:hint="eastAsia" w:ascii="宋体" w:hAnsi="宋体" w:cs="宋体"/>
                <w:kern w:val="0"/>
                <w:szCs w:val="21"/>
              </w:rPr>
              <w:t>Y＜2000</w:t>
            </w:r>
          </w:p>
        </w:tc>
      </w:tr>
      <w:tr w14:paraId="0F4E1E63">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5543642A">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物业管理</w:t>
            </w:r>
          </w:p>
        </w:tc>
        <w:tc>
          <w:tcPr>
            <w:tcW w:w="1497" w:type="dxa"/>
            <w:tcBorders>
              <w:top w:val="nil"/>
              <w:left w:val="nil"/>
              <w:bottom w:val="single" w:color="auto" w:sz="4" w:space="0"/>
              <w:right w:val="single" w:color="auto" w:sz="4" w:space="0"/>
            </w:tcBorders>
            <w:vAlign w:val="center"/>
          </w:tcPr>
          <w:p w14:paraId="15667F52">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182F1B06">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622C6B6D">
            <w:pPr>
              <w:widowControl/>
              <w:spacing w:line="340" w:lineRule="exact"/>
              <w:jc w:val="center"/>
              <w:rPr>
                <w:rFonts w:hint="eastAsia" w:ascii="宋体" w:hAnsi="宋体" w:cs="宋体"/>
                <w:kern w:val="0"/>
                <w:szCs w:val="21"/>
              </w:rPr>
            </w:pPr>
            <w:r>
              <w:rPr>
                <w:rFonts w:hint="eastAsia" w:ascii="宋体" w:hAnsi="宋体" w:cs="宋体"/>
                <w:kern w:val="0"/>
                <w:szCs w:val="21"/>
              </w:rPr>
              <w:t>300≤X＜1000</w:t>
            </w:r>
          </w:p>
        </w:tc>
        <w:tc>
          <w:tcPr>
            <w:tcW w:w="1701" w:type="dxa"/>
            <w:tcBorders>
              <w:top w:val="nil"/>
              <w:left w:val="nil"/>
              <w:bottom w:val="single" w:color="auto" w:sz="4" w:space="0"/>
              <w:right w:val="single" w:color="auto" w:sz="4" w:space="0"/>
            </w:tcBorders>
            <w:vAlign w:val="center"/>
          </w:tcPr>
          <w:p w14:paraId="5D2221EB">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201" w:type="dxa"/>
            <w:tcBorders>
              <w:top w:val="nil"/>
              <w:left w:val="nil"/>
              <w:bottom w:val="single" w:color="auto" w:sz="4" w:space="0"/>
              <w:right w:val="single" w:color="auto" w:sz="4" w:space="0"/>
            </w:tcBorders>
            <w:vAlign w:val="center"/>
          </w:tcPr>
          <w:p w14:paraId="017C0EBD">
            <w:pPr>
              <w:widowControl/>
              <w:spacing w:line="340" w:lineRule="exact"/>
              <w:jc w:val="center"/>
              <w:rPr>
                <w:rFonts w:hint="eastAsia" w:ascii="宋体" w:hAnsi="宋体" w:cs="宋体"/>
                <w:kern w:val="0"/>
                <w:szCs w:val="21"/>
              </w:rPr>
            </w:pPr>
            <w:r>
              <w:rPr>
                <w:rFonts w:hint="eastAsia" w:ascii="宋体" w:hAnsi="宋体" w:cs="宋体"/>
                <w:kern w:val="0"/>
                <w:szCs w:val="21"/>
              </w:rPr>
              <w:t>X＜100</w:t>
            </w:r>
          </w:p>
        </w:tc>
      </w:tr>
      <w:tr w14:paraId="1AFF16CC">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42F07882">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1E4BEF94">
            <w:pPr>
              <w:widowControl/>
              <w:spacing w:line="340" w:lineRule="exact"/>
              <w:jc w:val="center"/>
              <w:rPr>
                <w:rFonts w:hint="eastAsia" w:ascii="宋体" w:hAnsi="宋体" w:cs="宋体"/>
                <w:kern w:val="0"/>
                <w:szCs w:val="21"/>
              </w:rPr>
            </w:pPr>
            <w:r>
              <w:rPr>
                <w:rFonts w:hint="eastAsia" w:ascii="宋体" w:hAnsi="宋体" w:cs="宋体"/>
                <w:kern w:val="0"/>
                <w:szCs w:val="21"/>
              </w:rPr>
              <w:t>营业收入（Y）</w:t>
            </w:r>
          </w:p>
        </w:tc>
        <w:tc>
          <w:tcPr>
            <w:tcW w:w="1179" w:type="dxa"/>
            <w:tcBorders>
              <w:top w:val="nil"/>
              <w:left w:val="nil"/>
              <w:bottom w:val="single" w:color="auto" w:sz="4" w:space="0"/>
              <w:right w:val="single" w:color="auto" w:sz="4" w:space="0"/>
            </w:tcBorders>
            <w:vAlign w:val="center"/>
          </w:tcPr>
          <w:p w14:paraId="6232C28D">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505E877E">
            <w:pPr>
              <w:widowControl/>
              <w:spacing w:line="340" w:lineRule="exact"/>
              <w:jc w:val="center"/>
              <w:rPr>
                <w:rFonts w:hint="eastAsia" w:ascii="宋体" w:hAnsi="宋体" w:cs="宋体"/>
                <w:kern w:val="0"/>
                <w:szCs w:val="21"/>
              </w:rPr>
            </w:pPr>
            <w:r>
              <w:rPr>
                <w:rFonts w:hint="eastAsia" w:ascii="宋体" w:hAnsi="宋体" w:cs="宋体"/>
                <w:kern w:val="0"/>
                <w:szCs w:val="21"/>
              </w:rPr>
              <w:t>1000≤Y＜5000</w:t>
            </w:r>
          </w:p>
        </w:tc>
        <w:tc>
          <w:tcPr>
            <w:tcW w:w="1701" w:type="dxa"/>
            <w:tcBorders>
              <w:top w:val="nil"/>
              <w:left w:val="nil"/>
              <w:bottom w:val="single" w:color="auto" w:sz="4" w:space="0"/>
              <w:right w:val="single" w:color="auto" w:sz="4" w:space="0"/>
            </w:tcBorders>
            <w:vAlign w:val="center"/>
          </w:tcPr>
          <w:p w14:paraId="5580D8AB">
            <w:pPr>
              <w:widowControl/>
              <w:spacing w:line="340" w:lineRule="exact"/>
              <w:jc w:val="center"/>
              <w:rPr>
                <w:rFonts w:hint="eastAsia" w:ascii="宋体" w:hAnsi="宋体" w:cs="宋体"/>
                <w:kern w:val="0"/>
                <w:szCs w:val="21"/>
              </w:rPr>
            </w:pPr>
            <w:r>
              <w:rPr>
                <w:rFonts w:hint="eastAsia" w:ascii="宋体" w:hAnsi="宋体" w:cs="宋体"/>
                <w:kern w:val="0"/>
                <w:szCs w:val="21"/>
              </w:rPr>
              <w:t>500≤Y＜1000</w:t>
            </w:r>
          </w:p>
        </w:tc>
        <w:tc>
          <w:tcPr>
            <w:tcW w:w="1201" w:type="dxa"/>
            <w:tcBorders>
              <w:top w:val="nil"/>
              <w:left w:val="nil"/>
              <w:bottom w:val="single" w:color="auto" w:sz="4" w:space="0"/>
              <w:right w:val="single" w:color="auto" w:sz="4" w:space="0"/>
            </w:tcBorders>
            <w:vAlign w:val="center"/>
          </w:tcPr>
          <w:p w14:paraId="4B05078A">
            <w:pPr>
              <w:widowControl/>
              <w:spacing w:line="340" w:lineRule="exact"/>
              <w:jc w:val="center"/>
              <w:rPr>
                <w:rFonts w:hint="eastAsia" w:ascii="宋体" w:hAnsi="宋体" w:cs="宋体"/>
                <w:kern w:val="0"/>
                <w:szCs w:val="21"/>
              </w:rPr>
            </w:pPr>
            <w:r>
              <w:rPr>
                <w:rFonts w:hint="eastAsia" w:ascii="宋体" w:hAnsi="宋体" w:cs="宋体"/>
                <w:kern w:val="0"/>
                <w:szCs w:val="21"/>
              </w:rPr>
              <w:t>Y＜500</w:t>
            </w:r>
          </w:p>
        </w:tc>
      </w:tr>
      <w:tr w14:paraId="195705EA">
        <w:tblPrEx>
          <w:tblCellMar>
            <w:top w:w="0" w:type="dxa"/>
            <w:left w:w="108" w:type="dxa"/>
            <w:bottom w:w="0" w:type="dxa"/>
            <w:right w:w="108" w:type="dxa"/>
          </w:tblCellMar>
        </w:tblPrEx>
        <w:trPr>
          <w:trHeight w:val="225" w:hRule="atLeast"/>
          <w:jc w:val="center"/>
        </w:trPr>
        <w:tc>
          <w:tcPr>
            <w:tcW w:w="1764" w:type="dxa"/>
            <w:vMerge w:val="restart"/>
            <w:tcBorders>
              <w:top w:val="nil"/>
              <w:left w:val="single" w:color="auto" w:sz="4" w:space="0"/>
              <w:bottom w:val="single" w:color="auto" w:sz="4" w:space="0"/>
              <w:right w:val="single" w:color="auto" w:sz="4" w:space="0"/>
            </w:tcBorders>
            <w:vAlign w:val="center"/>
          </w:tcPr>
          <w:p w14:paraId="471A4588">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租赁和商务服务业</w:t>
            </w:r>
          </w:p>
        </w:tc>
        <w:tc>
          <w:tcPr>
            <w:tcW w:w="1497" w:type="dxa"/>
            <w:tcBorders>
              <w:top w:val="nil"/>
              <w:left w:val="nil"/>
              <w:bottom w:val="single" w:color="auto" w:sz="4" w:space="0"/>
              <w:right w:val="single" w:color="auto" w:sz="4" w:space="0"/>
            </w:tcBorders>
            <w:vAlign w:val="center"/>
          </w:tcPr>
          <w:p w14:paraId="55EA5FCD">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1B6A1CCF">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50DFE2CD">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380CB5C1">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5AA57A70">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r w14:paraId="2C3C9BA4">
        <w:tblPrEx>
          <w:tblCellMar>
            <w:top w:w="0" w:type="dxa"/>
            <w:left w:w="108" w:type="dxa"/>
            <w:bottom w:w="0" w:type="dxa"/>
            <w:right w:w="108" w:type="dxa"/>
          </w:tblCellMar>
        </w:tblPrEx>
        <w:trPr>
          <w:trHeight w:val="225" w:hRule="atLeast"/>
          <w:jc w:val="center"/>
        </w:trPr>
        <w:tc>
          <w:tcPr>
            <w:tcW w:w="1764" w:type="dxa"/>
            <w:vMerge w:val="continue"/>
            <w:tcBorders>
              <w:top w:val="nil"/>
              <w:left w:val="single" w:color="auto" w:sz="4" w:space="0"/>
              <w:bottom w:val="single" w:color="auto" w:sz="4" w:space="0"/>
              <w:right w:val="single" w:color="auto" w:sz="4" w:space="0"/>
            </w:tcBorders>
            <w:vAlign w:val="center"/>
          </w:tcPr>
          <w:p w14:paraId="3A8A92B6">
            <w:pPr>
              <w:widowControl/>
              <w:spacing w:line="340" w:lineRule="exact"/>
              <w:jc w:val="center"/>
              <w:rPr>
                <w:rFonts w:hint="eastAsia" w:ascii="宋体" w:hAnsi="宋体" w:cs="宋体"/>
                <w:b/>
                <w:bCs/>
                <w:kern w:val="0"/>
                <w:szCs w:val="21"/>
              </w:rPr>
            </w:pPr>
          </w:p>
        </w:tc>
        <w:tc>
          <w:tcPr>
            <w:tcW w:w="1497" w:type="dxa"/>
            <w:tcBorders>
              <w:top w:val="nil"/>
              <w:left w:val="nil"/>
              <w:bottom w:val="single" w:color="auto" w:sz="4" w:space="0"/>
              <w:right w:val="single" w:color="auto" w:sz="4" w:space="0"/>
            </w:tcBorders>
            <w:vAlign w:val="center"/>
          </w:tcPr>
          <w:p w14:paraId="712B2C80">
            <w:pPr>
              <w:widowControl/>
              <w:spacing w:line="340" w:lineRule="exact"/>
              <w:jc w:val="center"/>
              <w:rPr>
                <w:rFonts w:hint="eastAsia" w:ascii="宋体" w:hAnsi="宋体" w:cs="宋体"/>
                <w:kern w:val="0"/>
                <w:szCs w:val="21"/>
              </w:rPr>
            </w:pPr>
            <w:r>
              <w:rPr>
                <w:rFonts w:hint="eastAsia" w:ascii="宋体" w:hAnsi="宋体" w:cs="宋体"/>
                <w:kern w:val="0"/>
                <w:szCs w:val="21"/>
              </w:rPr>
              <w:t>资产总额（Z）</w:t>
            </w:r>
          </w:p>
        </w:tc>
        <w:tc>
          <w:tcPr>
            <w:tcW w:w="1179" w:type="dxa"/>
            <w:tcBorders>
              <w:top w:val="nil"/>
              <w:left w:val="nil"/>
              <w:bottom w:val="single" w:color="auto" w:sz="4" w:space="0"/>
              <w:right w:val="single" w:color="auto" w:sz="4" w:space="0"/>
            </w:tcBorders>
            <w:vAlign w:val="center"/>
          </w:tcPr>
          <w:p w14:paraId="20572948">
            <w:pPr>
              <w:widowControl/>
              <w:spacing w:line="340" w:lineRule="exact"/>
              <w:jc w:val="center"/>
              <w:rPr>
                <w:rFonts w:hint="eastAsia" w:ascii="宋体" w:hAnsi="宋体" w:cs="宋体"/>
                <w:kern w:val="0"/>
                <w:szCs w:val="21"/>
              </w:rPr>
            </w:pPr>
            <w:r>
              <w:rPr>
                <w:rFonts w:hint="eastAsia" w:ascii="宋体" w:hAnsi="宋体" w:cs="宋体"/>
                <w:kern w:val="0"/>
                <w:szCs w:val="21"/>
              </w:rPr>
              <w:t>万元</w:t>
            </w:r>
          </w:p>
        </w:tc>
        <w:tc>
          <w:tcPr>
            <w:tcW w:w="1798" w:type="dxa"/>
            <w:tcBorders>
              <w:top w:val="nil"/>
              <w:left w:val="nil"/>
              <w:bottom w:val="single" w:color="auto" w:sz="4" w:space="0"/>
              <w:right w:val="single" w:color="auto" w:sz="4" w:space="0"/>
            </w:tcBorders>
            <w:vAlign w:val="center"/>
          </w:tcPr>
          <w:p w14:paraId="4AD76F85">
            <w:pPr>
              <w:widowControl/>
              <w:spacing w:line="340" w:lineRule="exact"/>
              <w:jc w:val="center"/>
              <w:rPr>
                <w:rFonts w:hint="eastAsia" w:ascii="宋体" w:hAnsi="宋体" w:cs="宋体"/>
                <w:kern w:val="0"/>
                <w:szCs w:val="21"/>
              </w:rPr>
            </w:pPr>
            <w:r>
              <w:rPr>
                <w:rFonts w:hint="eastAsia" w:ascii="宋体" w:hAnsi="宋体" w:cs="宋体"/>
                <w:kern w:val="0"/>
                <w:szCs w:val="21"/>
              </w:rPr>
              <w:t>8000≤Z＜120000</w:t>
            </w:r>
          </w:p>
        </w:tc>
        <w:tc>
          <w:tcPr>
            <w:tcW w:w="1701" w:type="dxa"/>
            <w:tcBorders>
              <w:top w:val="nil"/>
              <w:left w:val="nil"/>
              <w:bottom w:val="single" w:color="auto" w:sz="4" w:space="0"/>
              <w:right w:val="single" w:color="auto" w:sz="4" w:space="0"/>
            </w:tcBorders>
            <w:vAlign w:val="center"/>
          </w:tcPr>
          <w:p w14:paraId="45DE1C48">
            <w:pPr>
              <w:widowControl/>
              <w:spacing w:line="340" w:lineRule="exact"/>
              <w:jc w:val="center"/>
              <w:rPr>
                <w:rFonts w:hint="eastAsia" w:ascii="宋体" w:hAnsi="宋体" w:cs="宋体"/>
                <w:kern w:val="0"/>
                <w:szCs w:val="21"/>
              </w:rPr>
            </w:pPr>
            <w:r>
              <w:rPr>
                <w:rFonts w:hint="eastAsia" w:ascii="宋体" w:hAnsi="宋体" w:cs="宋体"/>
                <w:kern w:val="0"/>
                <w:szCs w:val="21"/>
              </w:rPr>
              <w:t>100≤Z＜8000</w:t>
            </w:r>
          </w:p>
        </w:tc>
        <w:tc>
          <w:tcPr>
            <w:tcW w:w="1201" w:type="dxa"/>
            <w:tcBorders>
              <w:top w:val="nil"/>
              <w:left w:val="nil"/>
              <w:bottom w:val="single" w:color="auto" w:sz="4" w:space="0"/>
              <w:right w:val="single" w:color="auto" w:sz="4" w:space="0"/>
            </w:tcBorders>
            <w:vAlign w:val="center"/>
          </w:tcPr>
          <w:p w14:paraId="74EFBD43">
            <w:pPr>
              <w:widowControl/>
              <w:spacing w:line="340" w:lineRule="exact"/>
              <w:jc w:val="center"/>
              <w:rPr>
                <w:rFonts w:hint="eastAsia" w:ascii="宋体" w:hAnsi="宋体" w:cs="宋体"/>
                <w:kern w:val="0"/>
                <w:szCs w:val="21"/>
              </w:rPr>
            </w:pPr>
            <w:r>
              <w:rPr>
                <w:rFonts w:hint="eastAsia" w:ascii="宋体" w:hAnsi="宋体" w:cs="宋体"/>
                <w:kern w:val="0"/>
                <w:szCs w:val="21"/>
              </w:rPr>
              <w:t>Y＜100</w:t>
            </w:r>
          </w:p>
        </w:tc>
      </w:tr>
      <w:tr w14:paraId="39BCCAA3">
        <w:tblPrEx>
          <w:tblCellMar>
            <w:top w:w="0" w:type="dxa"/>
            <w:left w:w="108" w:type="dxa"/>
            <w:bottom w:w="0" w:type="dxa"/>
            <w:right w:w="108" w:type="dxa"/>
          </w:tblCellMar>
        </w:tblPrEx>
        <w:trPr>
          <w:trHeight w:val="225" w:hRule="atLeast"/>
          <w:jc w:val="center"/>
        </w:trPr>
        <w:tc>
          <w:tcPr>
            <w:tcW w:w="1764" w:type="dxa"/>
            <w:tcBorders>
              <w:top w:val="nil"/>
              <w:left w:val="single" w:color="auto" w:sz="4" w:space="0"/>
              <w:bottom w:val="single" w:color="auto" w:sz="4" w:space="0"/>
              <w:right w:val="single" w:color="auto" w:sz="4" w:space="0"/>
            </w:tcBorders>
            <w:vAlign w:val="center"/>
          </w:tcPr>
          <w:p w14:paraId="2C2BB66D">
            <w:pPr>
              <w:widowControl/>
              <w:spacing w:line="340" w:lineRule="exact"/>
              <w:jc w:val="center"/>
              <w:rPr>
                <w:rFonts w:hint="eastAsia" w:ascii="宋体" w:hAnsi="宋体" w:cs="宋体"/>
                <w:b/>
                <w:bCs/>
                <w:kern w:val="0"/>
                <w:szCs w:val="21"/>
              </w:rPr>
            </w:pPr>
            <w:r>
              <w:rPr>
                <w:rFonts w:hint="eastAsia" w:ascii="宋体" w:hAnsi="宋体" w:cs="宋体"/>
                <w:b/>
                <w:bCs/>
                <w:kern w:val="0"/>
                <w:szCs w:val="21"/>
              </w:rPr>
              <w:t>其他未列明行业</w:t>
            </w:r>
          </w:p>
        </w:tc>
        <w:tc>
          <w:tcPr>
            <w:tcW w:w="1497" w:type="dxa"/>
            <w:tcBorders>
              <w:top w:val="nil"/>
              <w:left w:val="nil"/>
              <w:bottom w:val="single" w:color="auto" w:sz="4" w:space="0"/>
              <w:right w:val="single" w:color="auto" w:sz="4" w:space="0"/>
            </w:tcBorders>
            <w:vAlign w:val="center"/>
          </w:tcPr>
          <w:p w14:paraId="240230E4">
            <w:pPr>
              <w:widowControl/>
              <w:spacing w:line="340" w:lineRule="exact"/>
              <w:jc w:val="center"/>
              <w:rPr>
                <w:rFonts w:hint="eastAsia" w:ascii="宋体" w:hAnsi="宋体" w:cs="宋体"/>
                <w:kern w:val="0"/>
                <w:szCs w:val="21"/>
              </w:rPr>
            </w:pPr>
            <w:r>
              <w:rPr>
                <w:rFonts w:hint="eastAsia" w:ascii="宋体" w:hAnsi="宋体" w:cs="宋体"/>
                <w:kern w:val="0"/>
                <w:szCs w:val="21"/>
              </w:rPr>
              <w:t>从业人员（X）</w:t>
            </w:r>
          </w:p>
        </w:tc>
        <w:tc>
          <w:tcPr>
            <w:tcW w:w="1179" w:type="dxa"/>
            <w:tcBorders>
              <w:top w:val="nil"/>
              <w:left w:val="nil"/>
              <w:bottom w:val="single" w:color="auto" w:sz="4" w:space="0"/>
              <w:right w:val="single" w:color="auto" w:sz="4" w:space="0"/>
            </w:tcBorders>
            <w:vAlign w:val="center"/>
          </w:tcPr>
          <w:p w14:paraId="031A64A3">
            <w:pPr>
              <w:widowControl/>
              <w:spacing w:line="340" w:lineRule="exact"/>
              <w:jc w:val="center"/>
              <w:rPr>
                <w:rFonts w:hint="eastAsia" w:ascii="宋体" w:hAnsi="宋体" w:cs="宋体"/>
                <w:kern w:val="0"/>
                <w:szCs w:val="21"/>
              </w:rPr>
            </w:pPr>
            <w:r>
              <w:rPr>
                <w:rFonts w:hint="eastAsia" w:ascii="宋体" w:hAnsi="宋体" w:cs="宋体"/>
                <w:kern w:val="0"/>
                <w:szCs w:val="21"/>
              </w:rPr>
              <w:t>人</w:t>
            </w:r>
          </w:p>
        </w:tc>
        <w:tc>
          <w:tcPr>
            <w:tcW w:w="1798" w:type="dxa"/>
            <w:tcBorders>
              <w:top w:val="nil"/>
              <w:left w:val="nil"/>
              <w:bottom w:val="single" w:color="auto" w:sz="4" w:space="0"/>
              <w:right w:val="single" w:color="auto" w:sz="4" w:space="0"/>
            </w:tcBorders>
            <w:vAlign w:val="center"/>
          </w:tcPr>
          <w:p w14:paraId="26937178">
            <w:pPr>
              <w:widowControl/>
              <w:spacing w:line="340" w:lineRule="exact"/>
              <w:jc w:val="center"/>
              <w:rPr>
                <w:rFonts w:hint="eastAsia" w:ascii="宋体" w:hAnsi="宋体" w:cs="宋体"/>
                <w:kern w:val="0"/>
                <w:szCs w:val="21"/>
              </w:rPr>
            </w:pPr>
            <w:r>
              <w:rPr>
                <w:rFonts w:hint="eastAsia" w:ascii="宋体" w:hAnsi="宋体" w:cs="宋体"/>
                <w:kern w:val="0"/>
                <w:szCs w:val="21"/>
              </w:rPr>
              <w:t>100≤X＜300</w:t>
            </w:r>
          </w:p>
        </w:tc>
        <w:tc>
          <w:tcPr>
            <w:tcW w:w="1701" w:type="dxa"/>
            <w:tcBorders>
              <w:top w:val="nil"/>
              <w:left w:val="nil"/>
              <w:bottom w:val="single" w:color="auto" w:sz="4" w:space="0"/>
              <w:right w:val="single" w:color="auto" w:sz="4" w:space="0"/>
            </w:tcBorders>
            <w:vAlign w:val="center"/>
          </w:tcPr>
          <w:p w14:paraId="0174E18A">
            <w:pPr>
              <w:widowControl/>
              <w:spacing w:line="340" w:lineRule="exact"/>
              <w:jc w:val="center"/>
              <w:rPr>
                <w:rFonts w:hint="eastAsia" w:ascii="宋体" w:hAnsi="宋体" w:cs="宋体"/>
                <w:kern w:val="0"/>
                <w:szCs w:val="21"/>
              </w:rPr>
            </w:pPr>
            <w:r>
              <w:rPr>
                <w:rFonts w:hint="eastAsia" w:ascii="宋体" w:hAnsi="宋体" w:cs="宋体"/>
                <w:kern w:val="0"/>
                <w:szCs w:val="21"/>
              </w:rPr>
              <w:t>10≤X＜100</w:t>
            </w:r>
          </w:p>
        </w:tc>
        <w:tc>
          <w:tcPr>
            <w:tcW w:w="1201" w:type="dxa"/>
            <w:tcBorders>
              <w:top w:val="nil"/>
              <w:left w:val="nil"/>
              <w:bottom w:val="single" w:color="auto" w:sz="4" w:space="0"/>
              <w:right w:val="single" w:color="auto" w:sz="4" w:space="0"/>
            </w:tcBorders>
            <w:vAlign w:val="center"/>
          </w:tcPr>
          <w:p w14:paraId="7BFD268C">
            <w:pPr>
              <w:widowControl/>
              <w:spacing w:line="340" w:lineRule="exact"/>
              <w:jc w:val="center"/>
              <w:rPr>
                <w:rFonts w:hint="eastAsia" w:ascii="宋体" w:hAnsi="宋体" w:cs="宋体"/>
                <w:kern w:val="0"/>
                <w:szCs w:val="21"/>
              </w:rPr>
            </w:pPr>
            <w:r>
              <w:rPr>
                <w:rFonts w:hint="eastAsia" w:ascii="宋体" w:hAnsi="宋体" w:cs="宋体"/>
                <w:kern w:val="0"/>
                <w:szCs w:val="21"/>
              </w:rPr>
              <w:t>X＜10</w:t>
            </w:r>
          </w:p>
        </w:tc>
      </w:tr>
    </w:tbl>
    <w:p w14:paraId="1AB6A54F">
      <w:pPr>
        <w:rPr>
          <w:rFonts w:hint="eastAsia" w:ascii="宋体" w:hAnsi="宋体" w:cs="宋体"/>
          <w:iCs/>
          <w:szCs w:val="21"/>
        </w:rPr>
      </w:pPr>
    </w:p>
    <w:p w14:paraId="7D9C8738">
      <w:pPr>
        <w:rPr>
          <w:b/>
          <w:bCs/>
        </w:rPr>
        <w:sectPr>
          <w:pgSz w:w="11906" w:h="16838"/>
          <w:pgMar w:top="1440" w:right="1440" w:bottom="1440" w:left="1440" w:header="851" w:footer="992" w:gutter="0"/>
          <w:cols w:space="720" w:num="1"/>
          <w:docGrid w:linePitch="312" w:charSpace="0"/>
        </w:sectPr>
      </w:pPr>
      <w:r>
        <w:rPr>
          <w:rFonts w:hint="eastAsia" w:ascii="宋体" w:hAnsi="宋体" w:cs="宋体"/>
          <w:iCs/>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07BFF056">
      <w:pPr>
        <w:pStyle w:val="2"/>
        <w:jc w:val="center"/>
        <w:rPr>
          <w:sz w:val="30"/>
          <w:szCs w:val="30"/>
        </w:rPr>
      </w:pPr>
      <w:bookmarkStart w:id="26" w:name="_Toc82792179"/>
      <w:bookmarkStart w:id="27" w:name="_Toc7656"/>
      <w:bookmarkStart w:id="28" w:name="_Toc6137"/>
      <w:bookmarkStart w:id="29" w:name="_Toc12963"/>
      <w:r>
        <w:rPr>
          <w:rFonts w:hint="eastAsia"/>
          <w:sz w:val="30"/>
          <w:szCs w:val="30"/>
        </w:rPr>
        <w:t>第三章  投标人须知</w:t>
      </w:r>
      <w:bookmarkEnd w:id="22"/>
      <w:bookmarkEnd w:id="23"/>
      <w:bookmarkEnd w:id="24"/>
      <w:bookmarkEnd w:id="25"/>
      <w:bookmarkEnd w:id="26"/>
      <w:bookmarkEnd w:id="27"/>
      <w:bookmarkEnd w:id="28"/>
      <w:bookmarkEnd w:id="29"/>
    </w:p>
    <w:p w14:paraId="6973CECF">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2689B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1AD1C48D">
            <w:pPr>
              <w:spacing w:line="400" w:lineRule="exact"/>
              <w:jc w:val="center"/>
              <w:rPr>
                <w:rFonts w:hint="eastAsia" w:ascii="宋体" w:hAnsi="宋体" w:cs="宋体"/>
                <w:b/>
                <w:szCs w:val="21"/>
              </w:rPr>
            </w:pPr>
            <w:r>
              <w:rPr>
                <w:rFonts w:hint="eastAsia" w:ascii="宋体" w:hAnsi="宋体" w:cs="宋体"/>
                <w:b/>
                <w:szCs w:val="21"/>
              </w:rPr>
              <w:t>序号</w:t>
            </w:r>
          </w:p>
        </w:tc>
        <w:tc>
          <w:tcPr>
            <w:tcW w:w="8232" w:type="dxa"/>
          </w:tcPr>
          <w:p w14:paraId="7C6E1788">
            <w:pPr>
              <w:spacing w:line="400" w:lineRule="exact"/>
              <w:jc w:val="center"/>
              <w:rPr>
                <w:rFonts w:hint="eastAsia" w:ascii="宋体" w:hAnsi="宋体" w:cs="宋体"/>
                <w:b/>
                <w:szCs w:val="21"/>
              </w:rPr>
            </w:pPr>
            <w:r>
              <w:rPr>
                <w:rFonts w:hint="eastAsia" w:ascii="宋体" w:hAnsi="宋体" w:cs="宋体"/>
                <w:b/>
                <w:szCs w:val="21"/>
              </w:rPr>
              <w:t>内    容</w:t>
            </w:r>
          </w:p>
        </w:tc>
      </w:tr>
      <w:tr w14:paraId="395F3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BA86EC6">
            <w:pPr>
              <w:spacing w:line="400" w:lineRule="exact"/>
              <w:jc w:val="center"/>
              <w:rPr>
                <w:rFonts w:hint="eastAsia" w:ascii="宋体" w:hAnsi="宋体" w:cs="宋体"/>
                <w:szCs w:val="21"/>
              </w:rPr>
            </w:pPr>
            <w:r>
              <w:rPr>
                <w:rFonts w:hint="eastAsia" w:ascii="宋体" w:hAnsi="宋体" w:cs="宋体"/>
                <w:szCs w:val="21"/>
              </w:rPr>
              <w:t>1</w:t>
            </w:r>
          </w:p>
        </w:tc>
        <w:tc>
          <w:tcPr>
            <w:tcW w:w="8232" w:type="dxa"/>
            <w:vAlign w:val="center"/>
          </w:tcPr>
          <w:p w14:paraId="57AE473E">
            <w:pPr>
              <w:spacing w:line="400" w:lineRule="exact"/>
              <w:rPr>
                <w:rFonts w:hint="eastAsia" w:ascii="宋体" w:hAnsi="宋体" w:cs="宋体"/>
                <w:szCs w:val="21"/>
              </w:rPr>
            </w:pPr>
            <w:r>
              <w:rPr>
                <w:rFonts w:hint="eastAsia" w:ascii="宋体" w:hAnsi="宋体" w:cs="宋体"/>
                <w:szCs w:val="21"/>
              </w:rPr>
              <w:t>项目名称：实训教学模型及互联互通虚拟教学一体化平台采购安装项目</w:t>
            </w:r>
          </w:p>
          <w:p w14:paraId="53F000E5">
            <w:pPr>
              <w:spacing w:line="400" w:lineRule="exact"/>
              <w:rPr>
                <w:rFonts w:hint="eastAsia" w:ascii="宋体" w:hAnsi="宋体" w:eastAsia="宋体" w:cs="宋体"/>
                <w:szCs w:val="21"/>
                <w:lang w:eastAsia="zh-CN"/>
              </w:rPr>
            </w:pPr>
            <w:r>
              <w:rPr>
                <w:rFonts w:hint="eastAsia" w:ascii="宋体" w:hAnsi="宋体" w:cs="宋体"/>
                <w:szCs w:val="21"/>
              </w:rPr>
              <w:t>项目编号：</w:t>
            </w:r>
            <w:r>
              <w:rPr>
                <w:rFonts w:hint="eastAsia" w:ascii="宋体" w:hAnsi="宋体" w:cs="宋体"/>
                <w:szCs w:val="21"/>
                <w:lang w:eastAsia="zh-CN"/>
              </w:rPr>
              <w:t>GXZC2024-G1-005820-GXTZ</w:t>
            </w:r>
          </w:p>
        </w:tc>
      </w:tr>
      <w:tr w14:paraId="49059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AEF050">
            <w:pPr>
              <w:spacing w:line="400" w:lineRule="exact"/>
              <w:jc w:val="center"/>
              <w:rPr>
                <w:rFonts w:hint="eastAsia" w:ascii="宋体" w:hAnsi="宋体" w:cs="宋体"/>
                <w:szCs w:val="21"/>
              </w:rPr>
            </w:pPr>
            <w:r>
              <w:rPr>
                <w:rFonts w:hint="eastAsia" w:ascii="宋体" w:hAnsi="宋体" w:cs="宋体"/>
                <w:szCs w:val="21"/>
              </w:rPr>
              <w:t>2</w:t>
            </w:r>
          </w:p>
        </w:tc>
        <w:tc>
          <w:tcPr>
            <w:tcW w:w="8232" w:type="dxa"/>
          </w:tcPr>
          <w:p w14:paraId="1645DFDE">
            <w:pPr>
              <w:spacing w:line="400" w:lineRule="exact"/>
              <w:rPr>
                <w:rFonts w:hint="eastAsia" w:ascii="宋体" w:hAnsi="宋体" w:cs="宋体"/>
                <w:szCs w:val="21"/>
              </w:rPr>
            </w:pPr>
            <w:r>
              <w:rPr>
                <w:rFonts w:hint="eastAsia" w:ascii="宋体" w:hAnsi="宋体" w:cs="宋体"/>
                <w:szCs w:val="21"/>
              </w:rPr>
              <w:t>采购资金来源：财政性资金</w:t>
            </w:r>
          </w:p>
          <w:p w14:paraId="11AA00F9">
            <w:pPr>
              <w:spacing w:line="400" w:lineRule="exact"/>
              <w:jc w:val="left"/>
              <w:rPr>
                <w:rFonts w:hint="eastAsia" w:ascii="宋体" w:hAnsi="宋体" w:cs="宋体"/>
                <w:szCs w:val="21"/>
              </w:rPr>
            </w:pPr>
            <w:r>
              <w:rPr>
                <w:rFonts w:hint="eastAsia" w:ascii="宋体" w:hAnsi="宋体" w:cs="宋体"/>
                <w:szCs w:val="21"/>
              </w:rPr>
              <w:t>预算总金额（元）：3165288.85</w:t>
            </w:r>
          </w:p>
          <w:p w14:paraId="41F40236">
            <w:pPr>
              <w:spacing w:line="400" w:lineRule="exact"/>
              <w:jc w:val="left"/>
              <w:rPr>
                <w:rFonts w:hint="eastAsia" w:ascii="宋体" w:hAnsi="宋体" w:cs="宋体"/>
                <w:szCs w:val="21"/>
              </w:rPr>
            </w:pPr>
            <w:r>
              <w:rPr>
                <w:rFonts w:hint="eastAsia" w:ascii="宋体" w:hAnsi="宋体" w:cs="宋体"/>
                <w:szCs w:val="21"/>
              </w:rPr>
              <w:t>其中：1分标采购预算（最高限价）：1423553.15元；2分标采购预算（最高限价）：348798.20元；3分标采购预算（最高限价）：993700.00元；4分标采购预算（最高限价）：399237.50元。</w:t>
            </w:r>
          </w:p>
        </w:tc>
      </w:tr>
      <w:tr w14:paraId="138F0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750930A">
            <w:pPr>
              <w:spacing w:line="400" w:lineRule="exact"/>
              <w:jc w:val="center"/>
              <w:rPr>
                <w:rFonts w:hint="eastAsia" w:ascii="宋体" w:hAnsi="宋体" w:cs="宋体"/>
                <w:szCs w:val="21"/>
              </w:rPr>
            </w:pPr>
            <w:r>
              <w:rPr>
                <w:rFonts w:hint="eastAsia" w:ascii="宋体" w:hAnsi="宋体" w:cs="宋体"/>
                <w:szCs w:val="21"/>
              </w:rPr>
              <w:t>3</w:t>
            </w:r>
          </w:p>
        </w:tc>
        <w:tc>
          <w:tcPr>
            <w:tcW w:w="8232" w:type="dxa"/>
            <w:vAlign w:val="center"/>
          </w:tcPr>
          <w:p w14:paraId="6925D29A">
            <w:pPr>
              <w:spacing w:line="400" w:lineRule="exact"/>
              <w:rPr>
                <w:rFonts w:hint="eastAsia" w:ascii="宋体" w:hAnsi="宋体" w:cs="宋体"/>
                <w:szCs w:val="21"/>
              </w:rPr>
            </w:pPr>
            <w:r>
              <w:rPr>
                <w:rFonts w:hint="eastAsia" w:ascii="宋体" w:hAnsi="宋体" w:cs="宋体"/>
                <w:szCs w:val="21"/>
              </w:rPr>
              <w:t>投标报价及费用：</w:t>
            </w:r>
          </w:p>
          <w:p w14:paraId="6B0D5468">
            <w:pPr>
              <w:spacing w:line="400" w:lineRule="exact"/>
              <w:rPr>
                <w:rFonts w:hint="eastAsia" w:ascii="宋体" w:hAnsi="宋体" w:cs="宋体"/>
                <w:szCs w:val="21"/>
              </w:rPr>
            </w:pPr>
            <w:r>
              <w:rPr>
                <w:rFonts w:hint="eastAsia" w:ascii="宋体" w:hAnsi="宋体" w:cs="宋体"/>
                <w:szCs w:val="21"/>
              </w:rPr>
              <w:t>1.本项目投标应以人民币报价；</w:t>
            </w:r>
          </w:p>
          <w:p w14:paraId="796BFA49">
            <w:pPr>
              <w:spacing w:line="400" w:lineRule="exact"/>
              <w:rPr>
                <w:rFonts w:hint="eastAsia" w:ascii="宋体" w:hAnsi="宋体" w:cs="宋体"/>
                <w:szCs w:val="21"/>
              </w:rPr>
            </w:pPr>
            <w:r>
              <w:rPr>
                <w:rFonts w:hint="eastAsia" w:ascii="宋体" w:hAnsi="宋体" w:cs="宋体"/>
                <w:szCs w:val="21"/>
              </w:rPr>
              <w:t>2.不论投标结果如何，投标人均应自行承担所有与投标有关的全部费用；</w:t>
            </w:r>
          </w:p>
          <w:p w14:paraId="3E6DC0ED">
            <w:pPr>
              <w:spacing w:line="400" w:lineRule="exact"/>
              <w:rPr>
                <w:rFonts w:hint="eastAsia" w:ascii="宋体" w:hAnsi="宋体" w:cs="宋体"/>
                <w:szCs w:val="21"/>
              </w:rPr>
            </w:pPr>
            <w:r>
              <w:rPr>
                <w:rFonts w:hint="eastAsia" w:ascii="宋体" w:hAnsi="宋体" w:cs="宋体"/>
                <w:szCs w:val="21"/>
              </w:rPr>
              <w:t>3.本项目各分标代理服务费用参照原国家发展计划委员会计价格[2002]1980号《招标代理服务费管理暂行办法》收费标准、发改办价格[2003]857号、发改价格{2011}534号文收费标准</w:t>
            </w:r>
            <w:r>
              <w:rPr>
                <w:rFonts w:hint="eastAsia" w:ascii="宋体" w:hAnsi="宋体" w:cs="宋体"/>
                <w:szCs w:val="21"/>
                <w:u w:val="single"/>
              </w:rPr>
              <w:t>下浮30%</w:t>
            </w:r>
            <w:r>
              <w:rPr>
                <w:rFonts w:hint="eastAsia" w:ascii="宋体" w:hAnsi="宋体" w:cs="宋体"/>
                <w:szCs w:val="21"/>
              </w:rPr>
              <w:t>向中标人收取。领取中标通知书前，中标人应向采购代理机构一次付清代理服务费。</w:t>
            </w:r>
          </w:p>
        </w:tc>
      </w:tr>
      <w:tr w14:paraId="3120D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134F79F">
            <w:pPr>
              <w:spacing w:line="400" w:lineRule="exact"/>
              <w:jc w:val="center"/>
              <w:rPr>
                <w:rFonts w:hint="eastAsia" w:ascii="宋体" w:hAnsi="宋体" w:cs="宋体"/>
                <w:szCs w:val="21"/>
              </w:rPr>
            </w:pPr>
            <w:r>
              <w:rPr>
                <w:rFonts w:hint="eastAsia" w:ascii="宋体" w:hAnsi="宋体" w:cs="宋体"/>
                <w:szCs w:val="21"/>
              </w:rPr>
              <w:t>4</w:t>
            </w:r>
          </w:p>
        </w:tc>
        <w:tc>
          <w:tcPr>
            <w:tcW w:w="8232" w:type="dxa"/>
            <w:vAlign w:val="center"/>
          </w:tcPr>
          <w:p w14:paraId="180C763E">
            <w:pPr>
              <w:spacing w:line="400" w:lineRule="exact"/>
              <w:rPr>
                <w:rFonts w:hint="eastAsia" w:ascii="宋体" w:hAnsi="宋体" w:cs="宋体"/>
                <w:szCs w:val="21"/>
              </w:rPr>
            </w:pPr>
            <w:r>
              <w:rPr>
                <w:rFonts w:hint="eastAsia" w:ascii="宋体" w:hAnsi="宋体" w:cs="宋体"/>
                <w:szCs w:val="21"/>
              </w:rPr>
              <w:t>投标保证金为：详见公开招标公告。</w:t>
            </w:r>
          </w:p>
        </w:tc>
      </w:tr>
      <w:tr w14:paraId="4A711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C487C2">
            <w:pPr>
              <w:spacing w:line="400" w:lineRule="exact"/>
              <w:jc w:val="center"/>
              <w:rPr>
                <w:rFonts w:hint="eastAsia" w:ascii="宋体" w:hAnsi="宋体" w:cs="宋体"/>
                <w:szCs w:val="21"/>
              </w:rPr>
            </w:pPr>
            <w:r>
              <w:rPr>
                <w:rFonts w:hint="eastAsia" w:ascii="宋体" w:hAnsi="宋体" w:cs="宋体"/>
                <w:szCs w:val="21"/>
              </w:rPr>
              <w:t>5</w:t>
            </w:r>
          </w:p>
        </w:tc>
        <w:tc>
          <w:tcPr>
            <w:tcW w:w="8232" w:type="dxa"/>
            <w:vAlign w:val="center"/>
          </w:tcPr>
          <w:p w14:paraId="35990567">
            <w:pPr>
              <w:spacing w:line="400" w:lineRule="exact"/>
              <w:rPr>
                <w:rFonts w:hint="eastAsia" w:ascii="宋体" w:hAnsi="宋体" w:cs="宋体"/>
                <w:szCs w:val="21"/>
              </w:rPr>
            </w:pPr>
            <w:r>
              <w:rPr>
                <w:rFonts w:hint="eastAsia" w:ascii="宋体" w:hAnsi="宋体" w:cs="宋体"/>
                <w:szCs w:val="21"/>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招标文件提供期限，并在财政部门指定的政府采购信息发布媒体上发布公告。</w:t>
            </w:r>
          </w:p>
        </w:tc>
      </w:tr>
      <w:tr w14:paraId="231AB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FAA4BEA">
            <w:pPr>
              <w:spacing w:line="400" w:lineRule="exact"/>
              <w:jc w:val="center"/>
              <w:rPr>
                <w:rFonts w:hint="eastAsia" w:ascii="宋体" w:hAnsi="宋体" w:cs="宋体"/>
                <w:szCs w:val="21"/>
              </w:rPr>
            </w:pPr>
            <w:r>
              <w:rPr>
                <w:rFonts w:hint="eastAsia" w:ascii="宋体" w:hAnsi="宋体" w:cs="宋体"/>
                <w:szCs w:val="21"/>
              </w:rPr>
              <w:t>6</w:t>
            </w:r>
          </w:p>
        </w:tc>
        <w:tc>
          <w:tcPr>
            <w:tcW w:w="8232" w:type="dxa"/>
            <w:vAlign w:val="center"/>
          </w:tcPr>
          <w:p w14:paraId="732F3E4D">
            <w:pPr>
              <w:spacing w:line="400" w:lineRule="exact"/>
              <w:rPr>
                <w:rFonts w:hint="eastAsia" w:ascii="宋体" w:hAnsi="宋体" w:cs="宋体"/>
                <w:b/>
                <w:bCs/>
                <w:szCs w:val="21"/>
              </w:rPr>
            </w:pPr>
            <w:r>
              <w:rPr>
                <w:rFonts w:hint="eastAsia" w:ascii="宋体" w:hAnsi="宋体" w:cs="宋体"/>
                <w:b/>
                <w:bCs/>
                <w:szCs w:val="21"/>
              </w:rPr>
              <w:t>电子投标文件：</w:t>
            </w:r>
          </w:p>
          <w:p w14:paraId="7675F832">
            <w:pPr>
              <w:spacing w:line="400" w:lineRule="exact"/>
              <w:rPr>
                <w:rFonts w:hint="eastAsia" w:ascii="宋体" w:hAnsi="宋体" w:cs="宋体"/>
                <w:b/>
                <w:bCs/>
                <w:szCs w:val="21"/>
              </w:rPr>
            </w:pPr>
            <w:r>
              <w:rPr>
                <w:rFonts w:hint="eastAsia" w:ascii="宋体" w:hAnsi="宋体" w:cs="宋体"/>
                <w:b/>
                <w:bCs/>
                <w:szCs w:val="21"/>
              </w:rPr>
              <w:t>1.投标人应按照本项目公开招标文件和广西政府采购云平台的要求，通过“广西政府采购云电子投标客户端”编制、加密电子投标文件，并于提交投标文件截止时间前在广西政府采购云平台上提交加密的电子投标文件。</w:t>
            </w:r>
          </w:p>
          <w:p w14:paraId="26BF897B">
            <w:pPr>
              <w:spacing w:line="400" w:lineRule="exact"/>
              <w:rPr>
                <w:rFonts w:hint="eastAsia" w:ascii="宋体" w:hAnsi="宋体" w:cs="宋体"/>
                <w:b/>
                <w:bCs/>
                <w:szCs w:val="21"/>
              </w:rPr>
            </w:pPr>
            <w:r>
              <w:rPr>
                <w:rFonts w:hint="eastAsia" w:ascii="宋体" w:hAnsi="宋体" w:cs="宋体"/>
                <w:b/>
                <w:bCs/>
                <w:szCs w:val="21"/>
              </w:rPr>
              <w:t>2.未按规定传输提交电子投标文件的将被广西政府采购云拒绝。</w:t>
            </w:r>
          </w:p>
          <w:p w14:paraId="1D09FC24">
            <w:pPr>
              <w:spacing w:line="400" w:lineRule="exact"/>
              <w:rPr>
                <w:rFonts w:hint="eastAsia" w:ascii="宋体" w:hAnsi="宋体" w:cs="宋体"/>
                <w:b/>
                <w:bCs/>
                <w:szCs w:val="21"/>
              </w:rPr>
            </w:pPr>
            <w:r>
              <w:rPr>
                <w:rFonts w:hint="eastAsia" w:ascii="宋体" w:hAnsi="宋体" w:cs="宋体"/>
                <w:b/>
                <w:bCs/>
                <w:szCs w:val="21"/>
              </w:rPr>
              <w:t>3.电子投标文件成功提交后，投标人可自行打印投标文件接收回执。</w:t>
            </w:r>
          </w:p>
        </w:tc>
      </w:tr>
      <w:tr w14:paraId="62F71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3DF2273">
            <w:pPr>
              <w:spacing w:line="400" w:lineRule="exact"/>
              <w:jc w:val="center"/>
              <w:rPr>
                <w:rFonts w:hint="eastAsia" w:ascii="宋体" w:hAnsi="宋体" w:cs="宋体"/>
                <w:szCs w:val="21"/>
              </w:rPr>
            </w:pPr>
            <w:r>
              <w:rPr>
                <w:rFonts w:hint="eastAsia" w:ascii="宋体" w:hAnsi="宋体" w:cs="宋体"/>
                <w:szCs w:val="21"/>
              </w:rPr>
              <w:t>7</w:t>
            </w:r>
          </w:p>
        </w:tc>
        <w:tc>
          <w:tcPr>
            <w:tcW w:w="8232" w:type="dxa"/>
            <w:vAlign w:val="center"/>
          </w:tcPr>
          <w:p w14:paraId="3239802D">
            <w:pPr>
              <w:spacing w:line="400" w:lineRule="exact"/>
              <w:ind w:left="21" w:hanging="21" w:hangingChars="10"/>
              <w:jc w:val="left"/>
              <w:rPr>
                <w:rFonts w:hint="eastAsia" w:ascii="宋体" w:hAnsi="宋体" w:cs="宋体"/>
                <w:szCs w:val="21"/>
              </w:rPr>
            </w:pPr>
            <w:r>
              <w:rPr>
                <w:rFonts w:hint="eastAsia" w:ascii="宋体" w:hAnsi="宋体" w:cs="宋体"/>
                <w:szCs w:val="21"/>
              </w:rPr>
              <w:t>投标文件提交截止时间及地点：详见公开招标公告。</w:t>
            </w:r>
          </w:p>
        </w:tc>
      </w:tr>
      <w:tr w14:paraId="08BAE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C003FC4">
            <w:pPr>
              <w:spacing w:line="400" w:lineRule="exact"/>
              <w:jc w:val="center"/>
              <w:rPr>
                <w:rFonts w:hint="eastAsia" w:ascii="宋体" w:hAnsi="宋体" w:cs="宋体"/>
                <w:szCs w:val="21"/>
              </w:rPr>
            </w:pPr>
            <w:r>
              <w:rPr>
                <w:rFonts w:hint="eastAsia" w:ascii="宋体" w:hAnsi="宋体" w:cs="宋体"/>
                <w:szCs w:val="21"/>
              </w:rPr>
              <w:t>8</w:t>
            </w:r>
          </w:p>
        </w:tc>
        <w:tc>
          <w:tcPr>
            <w:tcW w:w="8232" w:type="dxa"/>
            <w:vAlign w:val="center"/>
          </w:tcPr>
          <w:p w14:paraId="709B167F">
            <w:pPr>
              <w:spacing w:line="400" w:lineRule="exact"/>
              <w:rPr>
                <w:rFonts w:hint="eastAsia" w:ascii="宋体" w:hAnsi="宋体" w:cs="宋体"/>
                <w:szCs w:val="21"/>
              </w:rPr>
            </w:pPr>
            <w:r>
              <w:rPr>
                <w:rFonts w:hint="eastAsia" w:ascii="宋体" w:hAnsi="宋体" w:cs="宋体"/>
                <w:szCs w:val="21"/>
              </w:rPr>
              <w:t>开标时间：详见公开招标公告。</w:t>
            </w:r>
          </w:p>
        </w:tc>
      </w:tr>
      <w:tr w14:paraId="1BA05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62C149B">
            <w:pPr>
              <w:spacing w:line="400" w:lineRule="exact"/>
              <w:jc w:val="center"/>
              <w:rPr>
                <w:rFonts w:hint="eastAsia" w:ascii="宋体" w:hAnsi="宋体" w:cs="宋体"/>
                <w:szCs w:val="21"/>
              </w:rPr>
            </w:pPr>
            <w:r>
              <w:rPr>
                <w:rFonts w:hint="eastAsia" w:ascii="宋体" w:hAnsi="宋体" w:cs="宋体"/>
                <w:szCs w:val="21"/>
              </w:rPr>
              <w:t>9</w:t>
            </w:r>
          </w:p>
        </w:tc>
        <w:tc>
          <w:tcPr>
            <w:tcW w:w="8232" w:type="dxa"/>
            <w:vAlign w:val="center"/>
          </w:tcPr>
          <w:p w14:paraId="641F30CF">
            <w:pPr>
              <w:spacing w:line="400" w:lineRule="exact"/>
              <w:rPr>
                <w:rFonts w:hint="eastAsia" w:ascii="宋体" w:hAnsi="宋体" w:cs="宋体"/>
                <w:szCs w:val="21"/>
              </w:rPr>
            </w:pPr>
            <w:r>
              <w:rPr>
                <w:rFonts w:hint="eastAsia" w:ascii="宋体" w:hAnsi="宋体" w:cs="宋体"/>
                <w:szCs w:val="21"/>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文件无效。</w:t>
            </w:r>
          </w:p>
        </w:tc>
      </w:tr>
      <w:tr w14:paraId="0A48E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77A81C">
            <w:pPr>
              <w:spacing w:line="400" w:lineRule="exact"/>
              <w:jc w:val="center"/>
              <w:rPr>
                <w:rFonts w:hint="eastAsia" w:ascii="宋体" w:hAnsi="宋体" w:cs="宋体"/>
                <w:szCs w:val="21"/>
              </w:rPr>
            </w:pPr>
            <w:r>
              <w:rPr>
                <w:rFonts w:hint="eastAsia" w:ascii="宋体" w:hAnsi="宋体" w:cs="宋体"/>
                <w:szCs w:val="21"/>
              </w:rPr>
              <w:t>10</w:t>
            </w:r>
          </w:p>
        </w:tc>
        <w:tc>
          <w:tcPr>
            <w:tcW w:w="8232" w:type="dxa"/>
            <w:vAlign w:val="center"/>
          </w:tcPr>
          <w:p w14:paraId="737929E3">
            <w:pPr>
              <w:spacing w:line="400" w:lineRule="exact"/>
              <w:rPr>
                <w:rFonts w:hint="eastAsia" w:ascii="宋体" w:hAnsi="宋体" w:cs="宋体"/>
                <w:szCs w:val="21"/>
              </w:rPr>
            </w:pPr>
            <w:r>
              <w:rPr>
                <w:rFonts w:hint="eastAsia" w:ascii="宋体" w:hAnsi="宋体" w:cs="宋体"/>
                <w:szCs w:val="21"/>
              </w:rPr>
              <w:t>评标方法：综合评分法</w:t>
            </w:r>
          </w:p>
        </w:tc>
      </w:tr>
      <w:tr w14:paraId="68233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93C2240">
            <w:pPr>
              <w:spacing w:line="400" w:lineRule="exact"/>
              <w:jc w:val="center"/>
              <w:rPr>
                <w:rFonts w:hint="eastAsia" w:ascii="宋体" w:hAnsi="宋体" w:cs="宋体"/>
                <w:szCs w:val="21"/>
              </w:rPr>
            </w:pPr>
            <w:r>
              <w:rPr>
                <w:rFonts w:hint="eastAsia" w:ascii="宋体" w:hAnsi="宋体" w:cs="宋体"/>
                <w:szCs w:val="21"/>
              </w:rPr>
              <w:t>11</w:t>
            </w:r>
          </w:p>
        </w:tc>
        <w:tc>
          <w:tcPr>
            <w:tcW w:w="8232" w:type="dxa"/>
            <w:vAlign w:val="center"/>
          </w:tcPr>
          <w:p w14:paraId="02FABCA2">
            <w:pPr>
              <w:spacing w:line="400" w:lineRule="exact"/>
              <w:rPr>
                <w:rFonts w:hint="eastAsia" w:ascii="宋体" w:hAnsi="宋体" w:cs="宋体"/>
                <w:szCs w:val="21"/>
              </w:rPr>
            </w:pPr>
            <w:r>
              <w:rPr>
                <w:rFonts w:hint="eastAsia" w:ascii="宋体" w:hAnsi="宋体" w:cs="宋体"/>
                <w:szCs w:val="21"/>
              </w:rPr>
              <w:t>发布媒体：中国政府采购网、广西政府采购网。</w:t>
            </w:r>
          </w:p>
        </w:tc>
      </w:tr>
      <w:tr w14:paraId="46936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AC1280A">
            <w:pPr>
              <w:spacing w:line="400" w:lineRule="exact"/>
              <w:jc w:val="center"/>
              <w:rPr>
                <w:rFonts w:hint="eastAsia" w:ascii="宋体" w:hAnsi="宋体" w:cs="宋体"/>
                <w:szCs w:val="21"/>
              </w:rPr>
            </w:pPr>
            <w:r>
              <w:rPr>
                <w:rFonts w:hint="eastAsia" w:ascii="宋体" w:hAnsi="宋体" w:cs="宋体"/>
                <w:szCs w:val="21"/>
              </w:rPr>
              <w:t>12</w:t>
            </w:r>
          </w:p>
        </w:tc>
        <w:tc>
          <w:tcPr>
            <w:tcW w:w="8232" w:type="dxa"/>
            <w:vAlign w:val="center"/>
          </w:tcPr>
          <w:p w14:paraId="4F29CAEB">
            <w:pPr>
              <w:spacing w:line="400" w:lineRule="exact"/>
              <w:jc w:val="left"/>
              <w:rPr>
                <w:rFonts w:hint="eastAsia" w:ascii="宋体" w:hAnsi="宋体" w:cs="宋体"/>
                <w:b/>
                <w:bCs/>
                <w:szCs w:val="21"/>
              </w:rPr>
            </w:pPr>
            <w:r>
              <w:rPr>
                <w:rFonts w:hint="eastAsia" w:ascii="宋体" w:hAnsi="宋体" w:cs="宋体"/>
                <w:b/>
                <w:bCs/>
                <w:szCs w:val="21"/>
              </w:rPr>
              <w:t>一、信用信息使用规则：</w:t>
            </w:r>
          </w:p>
          <w:p w14:paraId="115A778F">
            <w:pPr>
              <w:spacing w:line="400" w:lineRule="exact"/>
              <w:jc w:val="left"/>
              <w:rPr>
                <w:rFonts w:hint="eastAsia" w:ascii="宋体" w:hAnsi="宋体" w:cs="宋体"/>
                <w:szCs w:val="21"/>
              </w:rPr>
            </w:pPr>
            <w:r>
              <w:rPr>
                <w:rFonts w:hint="eastAsia" w:ascii="宋体" w:hAnsi="宋体" w:cs="宋体"/>
                <w:szCs w:val="21"/>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p>
          <w:p w14:paraId="56A968C9">
            <w:pPr>
              <w:spacing w:line="400" w:lineRule="exact"/>
              <w:jc w:val="left"/>
              <w:rPr>
                <w:rFonts w:hint="eastAsia" w:ascii="宋体" w:hAnsi="宋体" w:cs="宋体"/>
                <w:b/>
                <w:bCs/>
                <w:szCs w:val="21"/>
              </w:rPr>
            </w:pPr>
            <w:r>
              <w:rPr>
                <w:rFonts w:hint="eastAsia" w:ascii="宋体" w:hAnsi="宋体" w:cs="宋体"/>
                <w:b/>
                <w:bCs/>
                <w:szCs w:val="21"/>
              </w:rPr>
              <w:t>二、甄别方式：</w:t>
            </w:r>
          </w:p>
          <w:p w14:paraId="3C25DDEE">
            <w:pPr>
              <w:spacing w:line="400" w:lineRule="exact"/>
              <w:jc w:val="left"/>
              <w:rPr>
                <w:rFonts w:hint="eastAsia" w:ascii="宋体" w:hAnsi="宋体" w:cs="宋体"/>
                <w:b/>
                <w:bCs/>
                <w:szCs w:val="21"/>
              </w:rPr>
            </w:pPr>
            <w:r>
              <w:rPr>
                <w:rFonts w:hint="eastAsia" w:ascii="宋体" w:hAnsi="宋体" w:cs="宋体"/>
                <w:b/>
                <w:bCs/>
                <w:szCs w:val="21"/>
              </w:rPr>
              <w:t>1.在本项目资格性审查时，采购人将对投标人信用进行查询，并按照以上信用信息使用规则处理；</w:t>
            </w:r>
          </w:p>
          <w:p w14:paraId="13BFD76B">
            <w:pPr>
              <w:spacing w:line="400" w:lineRule="exact"/>
              <w:jc w:val="left"/>
              <w:rPr>
                <w:rFonts w:hint="eastAsia" w:ascii="宋体" w:hAnsi="宋体" w:cs="宋体"/>
                <w:b/>
                <w:bCs/>
                <w:szCs w:val="21"/>
              </w:rPr>
            </w:pPr>
            <w:r>
              <w:rPr>
                <w:rFonts w:hint="eastAsia" w:ascii="宋体" w:hAnsi="宋体" w:cs="宋体"/>
                <w:b/>
                <w:bCs/>
                <w:szCs w:val="21"/>
              </w:rPr>
              <w:t>2.在中标通知书发出前，采购人或者采购代理机构将对中标人信用进行查询，并按照以上信用信息使用规则处理；</w:t>
            </w:r>
          </w:p>
          <w:p w14:paraId="41B7E330">
            <w:pPr>
              <w:spacing w:line="400" w:lineRule="exact"/>
              <w:jc w:val="left"/>
              <w:rPr>
                <w:rFonts w:hint="eastAsia" w:ascii="宋体" w:hAnsi="宋体" w:cs="宋体"/>
                <w:b/>
                <w:bCs/>
                <w:szCs w:val="21"/>
              </w:rPr>
            </w:pPr>
            <w:r>
              <w:rPr>
                <w:rFonts w:hint="eastAsia" w:ascii="宋体" w:hAnsi="宋体" w:cs="宋体"/>
                <w:b/>
                <w:bCs/>
                <w:szCs w:val="21"/>
              </w:rPr>
              <w:t>3.根据财政部</w:t>
            </w:r>
            <w:bookmarkStart w:id="30" w:name="sendNo"/>
            <w:r>
              <w:rPr>
                <w:rFonts w:hint="eastAsia" w:ascii="宋体" w:hAnsi="宋体" w:cs="宋体"/>
                <w:b/>
                <w:bCs/>
                <w:szCs w:val="21"/>
              </w:rPr>
              <w:t>《财政部关于〈中华人民共和国政府采购法实施条例〉第十九条第一款“较大数额罚款”具体适用问题的意见》（财库〔202</w:t>
            </w:r>
            <w:bookmarkEnd w:id="30"/>
            <w:r>
              <w:rPr>
                <w:rFonts w:hint="eastAsia" w:ascii="宋体" w:hAnsi="宋体" w:cs="宋体"/>
                <w:b/>
                <w:bCs/>
                <w:szCs w:val="21"/>
              </w:rPr>
              <w:t>2〕3 号），“较大数额罚款”认定为200万元以上的罚款，法律、行政法规以及国务院有关部门明确规定相关领域“较大数额罚款”标准高于200万元的，从其规定。</w:t>
            </w:r>
          </w:p>
        </w:tc>
      </w:tr>
      <w:tr w14:paraId="45F4D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105B17B">
            <w:pPr>
              <w:spacing w:line="400" w:lineRule="exact"/>
              <w:jc w:val="center"/>
              <w:rPr>
                <w:rFonts w:hint="eastAsia" w:ascii="宋体" w:hAnsi="宋体" w:cs="宋体"/>
                <w:szCs w:val="21"/>
              </w:rPr>
            </w:pPr>
            <w:r>
              <w:rPr>
                <w:rFonts w:hint="eastAsia" w:ascii="宋体" w:hAnsi="宋体" w:cs="宋体"/>
                <w:szCs w:val="21"/>
              </w:rPr>
              <w:t>13</w:t>
            </w:r>
          </w:p>
        </w:tc>
        <w:tc>
          <w:tcPr>
            <w:tcW w:w="8232" w:type="dxa"/>
            <w:vAlign w:val="center"/>
          </w:tcPr>
          <w:p w14:paraId="7276785F">
            <w:pPr>
              <w:spacing w:line="400" w:lineRule="exact"/>
              <w:rPr>
                <w:rFonts w:hint="eastAsia" w:ascii="宋体" w:hAnsi="宋体" w:cs="宋体"/>
                <w:szCs w:val="21"/>
              </w:rPr>
            </w:pPr>
            <w:r>
              <w:rPr>
                <w:rFonts w:hint="eastAsia" w:ascii="宋体" w:hAnsi="宋体" w:cs="宋体"/>
                <w:szCs w:val="21"/>
              </w:rPr>
              <w:t>中标公告及中标通知书：采购代理机构在采购人依法确认中标人后两个工作日内发布中标公告和中标通知书。</w:t>
            </w:r>
          </w:p>
        </w:tc>
      </w:tr>
      <w:tr w14:paraId="28EC7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D4EF9B1">
            <w:pPr>
              <w:spacing w:line="400" w:lineRule="exact"/>
              <w:jc w:val="center"/>
              <w:rPr>
                <w:rFonts w:hint="eastAsia" w:ascii="宋体" w:hAnsi="宋体" w:cs="宋体"/>
                <w:szCs w:val="21"/>
              </w:rPr>
            </w:pPr>
            <w:r>
              <w:rPr>
                <w:rFonts w:hint="eastAsia" w:ascii="宋体" w:hAnsi="宋体" w:cs="宋体"/>
                <w:szCs w:val="21"/>
              </w:rPr>
              <w:t>14</w:t>
            </w:r>
          </w:p>
        </w:tc>
        <w:tc>
          <w:tcPr>
            <w:tcW w:w="8232" w:type="dxa"/>
            <w:vAlign w:val="center"/>
          </w:tcPr>
          <w:p w14:paraId="39CDD836">
            <w:pPr>
              <w:tabs>
                <w:tab w:val="left" w:pos="1239"/>
              </w:tabs>
              <w:spacing w:line="400" w:lineRule="exact"/>
              <w:ind w:left="4006" w:hanging="4006" w:hangingChars="1900"/>
              <w:rPr>
                <w:rFonts w:hint="eastAsia" w:ascii="宋体" w:hAnsi="宋体" w:cs="宋体"/>
                <w:szCs w:val="21"/>
              </w:rPr>
            </w:pPr>
            <w:r>
              <w:rPr>
                <w:rFonts w:hint="eastAsia" w:ascii="宋体" w:hAnsi="宋体" w:cs="宋体"/>
                <w:b/>
                <w:bCs/>
                <w:szCs w:val="21"/>
              </w:rPr>
              <w:t>签订合同时间：中标通知书发出后</w:t>
            </w:r>
            <w:r>
              <w:rPr>
                <w:rFonts w:hint="eastAsia" w:ascii="宋体" w:hAnsi="宋体" w:cs="宋体"/>
                <w:b/>
                <w:bCs/>
                <w:szCs w:val="21"/>
                <w:u w:val="single"/>
              </w:rPr>
              <w:t>25</w:t>
            </w:r>
            <w:r>
              <w:rPr>
                <w:rFonts w:hint="eastAsia" w:ascii="宋体" w:hAnsi="宋体" w:cs="宋体"/>
                <w:b/>
                <w:bCs/>
                <w:szCs w:val="21"/>
              </w:rPr>
              <w:t>日内。</w:t>
            </w:r>
          </w:p>
        </w:tc>
      </w:tr>
      <w:tr w14:paraId="48634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1EF6FA9">
            <w:pPr>
              <w:spacing w:line="400" w:lineRule="exact"/>
              <w:jc w:val="center"/>
              <w:rPr>
                <w:rFonts w:hint="eastAsia" w:ascii="宋体" w:hAnsi="宋体" w:cs="宋体"/>
                <w:szCs w:val="21"/>
              </w:rPr>
            </w:pPr>
            <w:r>
              <w:rPr>
                <w:rFonts w:hint="eastAsia" w:ascii="宋体" w:hAnsi="宋体" w:cs="宋体"/>
                <w:szCs w:val="21"/>
              </w:rPr>
              <w:t>15</w:t>
            </w:r>
          </w:p>
        </w:tc>
        <w:tc>
          <w:tcPr>
            <w:tcW w:w="8232" w:type="dxa"/>
            <w:vAlign w:val="center"/>
          </w:tcPr>
          <w:p w14:paraId="299B5D9E">
            <w:pPr>
              <w:spacing w:line="400" w:lineRule="exact"/>
              <w:rPr>
                <w:rFonts w:hint="eastAsia" w:ascii="宋体" w:hAnsi="宋体" w:cs="宋体"/>
                <w:szCs w:val="21"/>
              </w:rPr>
            </w:pPr>
            <w:r>
              <w:rPr>
                <w:rFonts w:hint="eastAsia" w:ascii="宋体" w:hAnsi="宋体" w:cs="宋体"/>
                <w:szCs w:val="21"/>
              </w:rPr>
              <w:t>投标文件有效期：投标截止日期后90天。</w:t>
            </w:r>
          </w:p>
        </w:tc>
      </w:tr>
      <w:tr w14:paraId="781B7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4496E80">
            <w:pPr>
              <w:spacing w:line="400" w:lineRule="exact"/>
              <w:jc w:val="center"/>
              <w:rPr>
                <w:rFonts w:hint="eastAsia" w:ascii="宋体" w:hAnsi="宋体" w:cs="宋体"/>
                <w:szCs w:val="21"/>
              </w:rPr>
            </w:pPr>
            <w:r>
              <w:rPr>
                <w:rFonts w:hint="eastAsia" w:ascii="宋体" w:hAnsi="宋体" w:cs="宋体"/>
                <w:szCs w:val="21"/>
              </w:rPr>
              <w:t>16</w:t>
            </w:r>
          </w:p>
        </w:tc>
        <w:tc>
          <w:tcPr>
            <w:tcW w:w="8232" w:type="dxa"/>
            <w:vAlign w:val="center"/>
          </w:tcPr>
          <w:p w14:paraId="3020DF18">
            <w:pPr>
              <w:spacing w:line="400" w:lineRule="exact"/>
              <w:rPr>
                <w:rFonts w:hint="eastAsia" w:ascii="宋体" w:hAnsi="宋体" w:cs="宋体"/>
                <w:szCs w:val="21"/>
              </w:rPr>
            </w:pPr>
            <w:r>
              <w:rPr>
                <w:rFonts w:hint="eastAsia" w:ascii="宋体" w:hAnsi="宋体" w:cs="宋体"/>
                <w:szCs w:val="21"/>
              </w:rPr>
              <w:t>解释：本招标文件的解释权属于采购代理机构。</w:t>
            </w:r>
          </w:p>
        </w:tc>
      </w:tr>
      <w:tr w14:paraId="03FA2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0B8FDC6">
            <w:pPr>
              <w:spacing w:line="400" w:lineRule="exact"/>
              <w:jc w:val="center"/>
              <w:rPr>
                <w:rFonts w:hint="eastAsia" w:ascii="宋体" w:hAnsi="宋体" w:cs="宋体"/>
                <w:szCs w:val="21"/>
              </w:rPr>
            </w:pPr>
            <w:r>
              <w:rPr>
                <w:rFonts w:hint="eastAsia" w:ascii="宋体" w:hAnsi="宋体" w:cs="宋体"/>
                <w:szCs w:val="21"/>
              </w:rPr>
              <w:t>17</w:t>
            </w:r>
          </w:p>
        </w:tc>
        <w:tc>
          <w:tcPr>
            <w:tcW w:w="8232" w:type="dxa"/>
            <w:vAlign w:val="center"/>
          </w:tcPr>
          <w:p w14:paraId="63EC86BE">
            <w:pPr>
              <w:snapToGrid w:val="0"/>
              <w:spacing w:line="400" w:lineRule="exact"/>
              <w:rPr>
                <w:rFonts w:hint="eastAsia" w:ascii="宋体" w:hAnsi="宋体" w:cs="宋体"/>
                <w:b/>
                <w:szCs w:val="21"/>
              </w:rPr>
            </w:pPr>
            <w:r>
              <w:rPr>
                <w:rFonts w:hint="eastAsia" w:ascii="宋体" w:hAnsi="宋体" w:cs="宋体"/>
                <w:szCs w:val="21"/>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4F50C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2E3E5390">
            <w:pPr>
              <w:spacing w:line="400" w:lineRule="exact"/>
              <w:jc w:val="center"/>
              <w:rPr>
                <w:rFonts w:hint="eastAsia" w:ascii="宋体" w:hAnsi="宋体" w:cs="宋体"/>
                <w:szCs w:val="21"/>
              </w:rPr>
            </w:pPr>
            <w:r>
              <w:rPr>
                <w:rFonts w:hint="eastAsia" w:ascii="宋体" w:hAnsi="宋体" w:cs="宋体"/>
                <w:szCs w:val="21"/>
              </w:rPr>
              <w:t>18</w:t>
            </w:r>
          </w:p>
        </w:tc>
        <w:tc>
          <w:tcPr>
            <w:tcW w:w="8232" w:type="dxa"/>
            <w:vAlign w:val="center"/>
          </w:tcPr>
          <w:p w14:paraId="28188E56">
            <w:pPr>
              <w:snapToGrid w:val="0"/>
              <w:spacing w:line="400" w:lineRule="exact"/>
              <w:rPr>
                <w:rFonts w:hint="eastAsia" w:ascii="宋体" w:hAnsi="宋体" w:cs="宋体"/>
                <w:szCs w:val="21"/>
              </w:rPr>
            </w:pPr>
            <w:r>
              <w:rPr>
                <w:rFonts w:hint="eastAsia" w:ascii="宋体" w:hAnsi="宋体" w:cs="宋体"/>
                <w:szCs w:val="21"/>
              </w:rPr>
              <w:t>1.本招标文件中描述投标人的“CA电子签章”是指投标人的CA电子签章。</w:t>
            </w:r>
          </w:p>
          <w:p w14:paraId="5119369C">
            <w:pPr>
              <w:spacing w:line="400" w:lineRule="exact"/>
              <w:rPr>
                <w:rFonts w:hint="eastAsia" w:ascii="宋体" w:hAnsi="宋体" w:cs="宋体"/>
                <w:szCs w:val="21"/>
              </w:rPr>
            </w:pPr>
            <w:r>
              <w:rPr>
                <w:rFonts w:hint="eastAsia" w:ascii="宋体" w:hAnsi="宋体" w:cs="宋体"/>
                <w:szCs w:val="21"/>
              </w:rPr>
              <w:t>2.本招标文件所涉及的法定代表人或授权委托代理人签字或盖章的内容，如果投标人没有法定代表人或授权委托代理人电子签章，涉及到法定代表人或授权委托代理人签字或盖章的内容，投标人可以线下签字或盖章后扫描上传。</w:t>
            </w:r>
          </w:p>
        </w:tc>
      </w:tr>
    </w:tbl>
    <w:p w14:paraId="6A331AE8">
      <w:pPr>
        <w:spacing w:line="400" w:lineRule="exact"/>
        <w:jc w:val="center"/>
        <w:rPr>
          <w:b/>
          <w:sz w:val="32"/>
          <w:szCs w:val="32"/>
        </w:rPr>
      </w:pPr>
      <w:r>
        <w:rPr>
          <w:rFonts w:hint="eastAsia"/>
          <w:b/>
          <w:sz w:val="32"/>
          <w:szCs w:val="32"/>
        </w:rPr>
        <w:br w:type="page"/>
      </w:r>
      <w:r>
        <w:rPr>
          <w:rFonts w:hint="eastAsia"/>
          <w:b/>
          <w:sz w:val="32"/>
          <w:szCs w:val="32"/>
        </w:rPr>
        <w:t>投标人须知</w:t>
      </w:r>
    </w:p>
    <w:p w14:paraId="459C35F6">
      <w:pPr>
        <w:spacing w:line="400" w:lineRule="exact"/>
        <w:jc w:val="center"/>
        <w:rPr>
          <w:b/>
          <w:sz w:val="32"/>
          <w:szCs w:val="32"/>
        </w:rPr>
      </w:pPr>
    </w:p>
    <w:p w14:paraId="14CEE5A1">
      <w:pPr>
        <w:pStyle w:val="11"/>
        <w:snapToGrid w:val="0"/>
        <w:spacing w:line="400" w:lineRule="exact"/>
        <w:rPr>
          <w:rFonts w:hint="eastAsia" w:hAnsi="宋体" w:cs="宋体"/>
          <w:b/>
        </w:rPr>
      </w:pPr>
      <w:r>
        <w:rPr>
          <w:rFonts w:hint="eastAsia" w:hAnsi="宋体" w:cs="宋体"/>
          <w:b/>
        </w:rPr>
        <w:t>一、总  则</w:t>
      </w:r>
    </w:p>
    <w:p w14:paraId="604BFAFF">
      <w:pPr>
        <w:snapToGrid w:val="0"/>
        <w:spacing w:line="400" w:lineRule="exact"/>
        <w:ind w:firstLine="422" w:firstLineChars="200"/>
        <w:jc w:val="left"/>
        <w:rPr>
          <w:rFonts w:hint="eastAsia" w:ascii="宋体" w:hAnsi="宋体" w:cs="宋体"/>
          <w:b/>
          <w:szCs w:val="21"/>
        </w:rPr>
      </w:pPr>
      <w:bookmarkStart w:id="31" w:name="_Toc254970668"/>
      <w:bookmarkStart w:id="32" w:name="_Toc254970527"/>
      <w:r>
        <w:rPr>
          <w:rFonts w:hint="eastAsia" w:ascii="宋体" w:hAnsi="宋体" w:cs="宋体"/>
          <w:b/>
          <w:szCs w:val="21"/>
        </w:rPr>
        <w:t>1. 适用范围</w:t>
      </w:r>
      <w:bookmarkEnd w:id="31"/>
      <w:bookmarkEnd w:id="32"/>
    </w:p>
    <w:p w14:paraId="5DE8FA9A">
      <w:pPr>
        <w:pStyle w:val="11"/>
        <w:snapToGrid w:val="0"/>
        <w:spacing w:line="400" w:lineRule="exact"/>
        <w:ind w:firstLine="420" w:firstLineChars="200"/>
        <w:rPr>
          <w:rFonts w:hint="eastAsia" w:hAnsi="宋体" w:cs="宋体"/>
          <w:bCs/>
        </w:rPr>
      </w:pPr>
      <w:r>
        <w:rPr>
          <w:rFonts w:hint="eastAsia" w:hAnsi="宋体" w:cs="宋体"/>
          <w:bCs/>
        </w:rPr>
        <w:t>1.1本招标文件适用于</w:t>
      </w:r>
      <w:r>
        <w:rPr>
          <w:rFonts w:hint="eastAsia" w:hAnsi="宋体" w:cs="宋体"/>
          <w:bCs/>
          <w:u w:val="single"/>
        </w:rPr>
        <w:t>实训教学模型及互联互通虚拟教学一体化平台采购安装</w:t>
      </w:r>
      <w:r>
        <w:rPr>
          <w:rFonts w:hint="eastAsia" w:hAnsi="宋体" w:cs="宋体"/>
          <w:bCs/>
        </w:rPr>
        <w:t>项目的招标、投标、评标、定标、验收、合同履约、付款等行为（法律、法规另有规定的，从其规定）。</w:t>
      </w:r>
    </w:p>
    <w:p w14:paraId="4DE2CA59">
      <w:pPr>
        <w:snapToGrid w:val="0"/>
        <w:spacing w:line="400" w:lineRule="exact"/>
        <w:ind w:firstLine="422" w:firstLineChars="200"/>
        <w:jc w:val="left"/>
        <w:rPr>
          <w:rFonts w:hint="eastAsia" w:ascii="宋体" w:hAnsi="宋体" w:cs="宋体"/>
          <w:b/>
          <w:szCs w:val="21"/>
        </w:rPr>
      </w:pPr>
      <w:bookmarkStart w:id="33" w:name="_Toc254970528"/>
      <w:bookmarkStart w:id="34" w:name="_Toc254970669"/>
      <w:r>
        <w:rPr>
          <w:rFonts w:hint="eastAsia" w:ascii="宋体" w:hAnsi="宋体" w:cs="宋体"/>
          <w:b/>
          <w:szCs w:val="21"/>
        </w:rPr>
        <w:t>2.定义</w:t>
      </w:r>
      <w:bookmarkEnd w:id="33"/>
      <w:bookmarkEnd w:id="34"/>
    </w:p>
    <w:p w14:paraId="1079A176">
      <w:pPr>
        <w:pStyle w:val="11"/>
        <w:snapToGrid w:val="0"/>
        <w:spacing w:line="400" w:lineRule="exact"/>
        <w:ind w:firstLine="420" w:firstLineChars="200"/>
        <w:rPr>
          <w:rFonts w:hint="eastAsia" w:hAnsi="宋体" w:cs="宋体"/>
          <w:bCs/>
        </w:rPr>
      </w:pPr>
      <w:r>
        <w:rPr>
          <w:rFonts w:hint="eastAsia" w:hAnsi="宋体" w:cs="宋体"/>
          <w:bCs/>
        </w:rPr>
        <w:t>2.1“采购人”是指</w:t>
      </w:r>
      <w:r>
        <w:rPr>
          <w:rFonts w:hint="eastAsia" w:hAnsi="宋体" w:cs="宋体"/>
          <w:bCs/>
          <w:u w:val="single"/>
        </w:rPr>
        <w:t>广西壮族自治区胸科医院</w:t>
      </w:r>
      <w:r>
        <w:rPr>
          <w:rFonts w:hint="eastAsia" w:hAnsi="宋体" w:cs="宋体"/>
          <w:bCs/>
        </w:rPr>
        <w:t>；“采购代理机构”是指</w:t>
      </w:r>
      <w:r>
        <w:rPr>
          <w:rFonts w:hint="eastAsia" w:hAnsi="宋体" w:cs="宋体"/>
          <w:bCs/>
          <w:u w:val="single"/>
        </w:rPr>
        <w:t>广西同泽工程项目管理股份有限公司</w:t>
      </w:r>
      <w:r>
        <w:rPr>
          <w:rFonts w:hint="eastAsia" w:hAnsi="宋体" w:cs="宋体"/>
          <w:bCs/>
        </w:rPr>
        <w:t>。</w:t>
      </w:r>
    </w:p>
    <w:p w14:paraId="2533D947">
      <w:pPr>
        <w:pStyle w:val="11"/>
        <w:snapToGrid w:val="0"/>
        <w:spacing w:line="400" w:lineRule="exact"/>
        <w:ind w:firstLine="420" w:firstLineChars="200"/>
        <w:rPr>
          <w:rFonts w:hint="eastAsia" w:hAnsi="宋体" w:cs="宋体"/>
          <w:bCs/>
        </w:rPr>
      </w:pPr>
      <w:r>
        <w:rPr>
          <w:rFonts w:hint="eastAsia" w:hAnsi="宋体" w:cs="宋体"/>
          <w:bCs/>
        </w:rPr>
        <w:t>2.2“投标人”系指</w:t>
      </w:r>
      <w:r>
        <w:rPr>
          <w:rFonts w:hint="eastAsia" w:hAnsi="宋体" w:cs="宋体"/>
        </w:rPr>
        <w:t>响应本公开招标文件要求，参加投标的法人或其他组织或自然人。如果该投标人在本次投标中中标，即成为“中标人”</w:t>
      </w:r>
      <w:r>
        <w:rPr>
          <w:rFonts w:hint="eastAsia" w:hAnsi="宋体" w:cs="宋体"/>
          <w:bCs/>
        </w:rPr>
        <w:t>。</w:t>
      </w:r>
    </w:p>
    <w:p w14:paraId="51232F1E">
      <w:pPr>
        <w:pStyle w:val="11"/>
        <w:snapToGrid w:val="0"/>
        <w:spacing w:line="400" w:lineRule="exact"/>
        <w:ind w:firstLine="420" w:firstLineChars="200"/>
        <w:rPr>
          <w:rFonts w:hint="eastAsia" w:hAnsi="宋体" w:cs="宋体"/>
          <w:bCs/>
        </w:rPr>
      </w:pPr>
      <w:r>
        <w:rPr>
          <w:rFonts w:hint="eastAsia" w:hAnsi="宋体" w:cs="宋体"/>
          <w:bCs/>
        </w:rPr>
        <w:t>2.3“产品”系指投标人按招标文件规定，须向采购人提供的一切设备（含安装）、保险、税金、备品备件、工具、手册及其它有关技术资料和材料。</w:t>
      </w:r>
    </w:p>
    <w:p w14:paraId="4DD35FD3">
      <w:pPr>
        <w:pStyle w:val="11"/>
        <w:snapToGrid w:val="0"/>
        <w:spacing w:line="400" w:lineRule="exact"/>
        <w:ind w:firstLine="420" w:firstLineChars="200"/>
        <w:rPr>
          <w:rFonts w:hint="eastAsia" w:hAnsi="宋体" w:cs="宋体"/>
          <w:bCs/>
        </w:rPr>
      </w:pPr>
      <w:r>
        <w:rPr>
          <w:rFonts w:hint="eastAsia" w:hAnsi="宋体" w:cs="宋体"/>
          <w:bCs/>
        </w:rPr>
        <w:t>2.4“服务”系指招标文件规定投标人须承担的安装、调试、技术协助、校准、培训、技术指导以及其他类似的义务。</w:t>
      </w:r>
    </w:p>
    <w:p w14:paraId="410FF7E5">
      <w:pPr>
        <w:pStyle w:val="11"/>
        <w:snapToGrid w:val="0"/>
        <w:spacing w:line="400" w:lineRule="exact"/>
        <w:ind w:firstLine="420" w:firstLineChars="200"/>
        <w:rPr>
          <w:rFonts w:hint="eastAsia" w:hAnsi="宋体" w:cs="宋体"/>
          <w:bCs/>
        </w:rPr>
      </w:pPr>
      <w:r>
        <w:rPr>
          <w:rFonts w:hint="eastAsia" w:hAnsi="宋体" w:cs="宋体"/>
          <w:bCs/>
        </w:rPr>
        <w:t>2.5“项目”系指投标人按招标文件规定向采购人提供的产品和服务。</w:t>
      </w:r>
    </w:p>
    <w:p w14:paraId="1CA5E8A8">
      <w:pPr>
        <w:pStyle w:val="11"/>
        <w:snapToGrid w:val="0"/>
        <w:spacing w:line="400" w:lineRule="exact"/>
        <w:ind w:firstLine="420" w:firstLineChars="200"/>
        <w:rPr>
          <w:rFonts w:hint="eastAsia" w:hAnsi="宋体" w:cs="宋体"/>
          <w:bCs/>
        </w:rPr>
      </w:pPr>
      <w:r>
        <w:rPr>
          <w:rFonts w:hint="eastAsia" w:hAnsi="宋体" w:cs="宋体"/>
          <w:bCs/>
        </w:rPr>
        <w:t>2.6“签字”系指表示同意、认可、承担责任或义务的行为。</w:t>
      </w:r>
    </w:p>
    <w:p w14:paraId="23DB2E0E">
      <w:pPr>
        <w:pStyle w:val="11"/>
        <w:snapToGrid w:val="0"/>
        <w:spacing w:line="400" w:lineRule="exact"/>
        <w:ind w:firstLine="420" w:firstLineChars="200"/>
        <w:rPr>
          <w:rFonts w:hint="eastAsia" w:hAnsi="宋体" w:cs="宋体"/>
          <w:bCs/>
        </w:rPr>
      </w:pPr>
      <w:r>
        <w:rPr>
          <w:rFonts w:hint="eastAsia" w:hAnsi="宋体" w:cs="宋体"/>
          <w:bCs/>
        </w:rPr>
        <w:t>2.7“电子投标文件”系指完整的投标文件，内容包括资格文件、报价文件、商务技术文件。</w:t>
      </w:r>
    </w:p>
    <w:p w14:paraId="2A828B54">
      <w:pPr>
        <w:pStyle w:val="11"/>
        <w:snapToGrid w:val="0"/>
        <w:spacing w:line="400" w:lineRule="exact"/>
        <w:ind w:firstLine="420" w:firstLineChars="200"/>
        <w:rPr>
          <w:rFonts w:hint="eastAsia" w:hAnsi="宋体" w:cs="宋体"/>
          <w:bCs/>
        </w:rPr>
      </w:pPr>
      <w:bookmarkStart w:id="35" w:name="_Toc254970529"/>
      <w:bookmarkStart w:id="36" w:name="_Toc254970670"/>
      <w:bookmarkStart w:id="37" w:name="_Toc254970536"/>
      <w:bookmarkStart w:id="38" w:name="_Toc254970677"/>
      <w:r>
        <w:rPr>
          <w:rFonts w:hint="eastAsia" w:hAnsi="宋体" w:cs="宋体"/>
          <w:bCs/>
        </w:rPr>
        <w:t>2.8“▲”系指本次采购项目“第二章 采购需求”中的实质性要求。</w:t>
      </w:r>
    </w:p>
    <w:p w14:paraId="6D27F0DA">
      <w:pPr>
        <w:pStyle w:val="11"/>
        <w:snapToGrid w:val="0"/>
        <w:spacing w:line="400" w:lineRule="exact"/>
        <w:ind w:firstLine="420" w:firstLineChars="200"/>
        <w:rPr>
          <w:rFonts w:hint="eastAsia" w:hAnsi="宋体" w:cs="宋体"/>
          <w:bCs/>
        </w:rPr>
      </w:pPr>
      <w:r>
        <w:rPr>
          <w:rFonts w:hint="eastAsia" w:hAnsi="宋体" w:cs="宋体"/>
          <w:bCs/>
        </w:rPr>
        <w:t>2.9公开招标文件中所称的“以上”、“以下”、“内”、“以内”、“届满”，包括本数；所称的“不满”、“不足”、“以外”，不包括本数。</w:t>
      </w:r>
    </w:p>
    <w:p w14:paraId="304FC525">
      <w:pPr>
        <w:pStyle w:val="11"/>
        <w:snapToGrid w:val="0"/>
        <w:spacing w:line="400" w:lineRule="exact"/>
        <w:ind w:firstLine="420" w:firstLineChars="200"/>
        <w:rPr>
          <w:rFonts w:hint="eastAsia" w:hAnsi="宋体" w:cs="宋体"/>
          <w:bCs/>
        </w:rPr>
      </w:pPr>
      <w:r>
        <w:rPr>
          <w:rFonts w:hint="eastAsia" w:hAnsi="宋体" w:cs="宋体"/>
          <w:bCs/>
        </w:rPr>
        <w:t>2.10“法定代表人”系指投标人的法定代表人、负责人或自然人。</w:t>
      </w:r>
    </w:p>
    <w:p w14:paraId="7F4AF048">
      <w:pPr>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3.招标方式</w:t>
      </w:r>
      <w:bookmarkEnd w:id="35"/>
      <w:bookmarkEnd w:id="36"/>
    </w:p>
    <w:p w14:paraId="78F1042C">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3.1公开招标方式。</w:t>
      </w:r>
    </w:p>
    <w:p w14:paraId="5139FC4D">
      <w:pPr>
        <w:snapToGrid w:val="0"/>
        <w:spacing w:line="400" w:lineRule="exact"/>
        <w:ind w:firstLine="422" w:firstLineChars="200"/>
        <w:jc w:val="left"/>
        <w:rPr>
          <w:rFonts w:hint="eastAsia" w:ascii="宋体" w:hAnsi="宋体" w:cs="宋体"/>
          <w:b/>
          <w:szCs w:val="21"/>
        </w:rPr>
      </w:pPr>
      <w:bookmarkStart w:id="39" w:name="_Toc254970530"/>
      <w:bookmarkStart w:id="40" w:name="_Toc254970671"/>
      <w:r>
        <w:rPr>
          <w:rFonts w:hint="eastAsia" w:ascii="宋体" w:hAnsi="宋体" w:cs="宋体"/>
          <w:b/>
          <w:szCs w:val="21"/>
        </w:rPr>
        <w:t>4.投标委托</w:t>
      </w:r>
      <w:bookmarkEnd w:id="39"/>
      <w:bookmarkEnd w:id="40"/>
    </w:p>
    <w:p w14:paraId="3890FA9A">
      <w:pPr>
        <w:pStyle w:val="11"/>
        <w:snapToGrid w:val="0"/>
        <w:spacing w:line="400" w:lineRule="exact"/>
        <w:ind w:firstLine="420" w:firstLineChars="200"/>
        <w:rPr>
          <w:rFonts w:hint="eastAsia" w:hAnsi="宋体" w:cs="宋体"/>
          <w:bCs/>
        </w:rPr>
      </w:pPr>
      <w:r>
        <w:rPr>
          <w:rFonts w:hint="eastAsia" w:hAnsi="宋体" w:cs="宋体"/>
          <w:bCs/>
        </w:rPr>
        <w:t>4.1如投标人代表不是法定代表人，须有法定代表人出具的授权委托书（格式见第六章投标文件格式）。</w:t>
      </w:r>
      <w:bookmarkStart w:id="41" w:name="_Toc254970672"/>
      <w:bookmarkStart w:id="42" w:name="_Toc254970531"/>
    </w:p>
    <w:p w14:paraId="2CEABD9D">
      <w:pPr>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5.投标费用</w:t>
      </w:r>
      <w:bookmarkEnd w:id="41"/>
      <w:bookmarkEnd w:id="42"/>
    </w:p>
    <w:p w14:paraId="4478F771">
      <w:pPr>
        <w:pStyle w:val="11"/>
        <w:snapToGrid w:val="0"/>
        <w:spacing w:line="400" w:lineRule="exact"/>
        <w:ind w:firstLine="420" w:firstLineChars="200"/>
        <w:rPr>
          <w:rFonts w:hint="eastAsia" w:hAnsi="宋体" w:cs="宋体"/>
          <w:bCs/>
        </w:rPr>
      </w:pPr>
      <w:r>
        <w:rPr>
          <w:rFonts w:hint="eastAsia" w:hAnsi="宋体" w:cs="宋体"/>
          <w:bCs/>
        </w:rPr>
        <w:t>5.1投标人均应自行承担所有与投标有关的全部费用（招标文件有相关规定的除外）。</w:t>
      </w:r>
    </w:p>
    <w:p w14:paraId="6FB987DC">
      <w:pPr>
        <w:snapToGrid w:val="0"/>
        <w:spacing w:line="400" w:lineRule="exact"/>
        <w:ind w:firstLine="422" w:firstLineChars="200"/>
        <w:jc w:val="left"/>
        <w:rPr>
          <w:rFonts w:hint="eastAsia" w:ascii="宋体" w:hAnsi="宋体" w:cs="宋体"/>
          <w:b/>
          <w:szCs w:val="21"/>
        </w:rPr>
      </w:pPr>
      <w:r>
        <w:rPr>
          <w:rFonts w:hint="eastAsia" w:ascii="宋体" w:hAnsi="宋体" w:cs="宋体"/>
          <w:b/>
          <w:szCs w:val="21"/>
        </w:rPr>
        <w:t>6.联合体投标</w:t>
      </w:r>
    </w:p>
    <w:p w14:paraId="3B9DECA5">
      <w:pPr>
        <w:snapToGrid w:val="0"/>
        <w:spacing w:line="400" w:lineRule="exact"/>
        <w:ind w:firstLine="420"/>
        <w:jc w:val="left"/>
        <w:rPr>
          <w:rFonts w:hint="eastAsia" w:ascii="宋体" w:hAnsi="宋体" w:cs="宋体"/>
          <w:szCs w:val="21"/>
        </w:rPr>
      </w:pPr>
      <w:r>
        <w:rPr>
          <w:rFonts w:hint="eastAsia" w:ascii="宋体" w:hAnsi="宋体" w:cs="宋体"/>
          <w:szCs w:val="21"/>
        </w:rPr>
        <w:t>6.1本项目</w:t>
      </w:r>
      <w:r>
        <w:rPr>
          <w:rFonts w:hint="eastAsia" w:ascii="宋体" w:hAnsi="宋体" w:cs="宋体"/>
          <w:szCs w:val="21"/>
          <w:u w:val="single"/>
        </w:rPr>
        <w:t>不接受</w:t>
      </w:r>
      <w:r>
        <w:rPr>
          <w:rFonts w:hint="eastAsia" w:ascii="宋体" w:hAnsi="宋体" w:cs="宋体"/>
          <w:szCs w:val="21"/>
        </w:rPr>
        <w:t>联合体投标。</w:t>
      </w:r>
    </w:p>
    <w:p w14:paraId="348C5B2C">
      <w:pPr>
        <w:snapToGrid w:val="0"/>
        <w:spacing w:line="400" w:lineRule="exact"/>
        <w:ind w:firstLine="411" w:firstLineChars="195"/>
        <w:rPr>
          <w:rFonts w:hint="eastAsia" w:ascii="宋体" w:hAnsi="宋体" w:cs="宋体"/>
          <w:b/>
          <w:kern w:val="0"/>
          <w:szCs w:val="21"/>
        </w:rPr>
      </w:pPr>
      <w:r>
        <w:rPr>
          <w:rFonts w:hint="eastAsia" w:ascii="宋体" w:hAnsi="宋体" w:cs="宋体"/>
          <w:b/>
          <w:szCs w:val="21"/>
        </w:rPr>
        <w:t>7.</w:t>
      </w:r>
      <w:r>
        <w:rPr>
          <w:rFonts w:hint="eastAsia" w:ascii="宋体" w:hAnsi="宋体" w:cs="宋体"/>
          <w:b/>
          <w:kern w:val="0"/>
          <w:szCs w:val="21"/>
        </w:rPr>
        <w:t xml:space="preserve">转包与分包             </w:t>
      </w:r>
    </w:p>
    <w:p w14:paraId="079269AD">
      <w:pPr>
        <w:pStyle w:val="11"/>
        <w:snapToGrid w:val="0"/>
        <w:spacing w:line="400" w:lineRule="exact"/>
        <w:ind w:firstLine="420" w:firstLineChars="200"/>
        <w:rPr>
          <w:rFonts w:hint="eastAsia" w:hAnsi="宋体" w:cs="宋体"/>
          <w:bCs/>
        </w:rPr>
      </w:pPr>
      <w:r>
        <w:rPr>
          <w:rFonts w:hint="eastAsia" w:hAnsi="宋体" w:cs="宋体"/>
          <w:bCs/>
        </w:rPr>
        <w:t>7.1本项目不允许转包。</w:t>
      </w:r>
    </w:p>
    <w:p w14:paraId="16ECB84A">
      <w:pPr>
        <w:pStyle w:val="11"/>
        <w:snapToGrid w:val="0"/>
        <w:spacing w:line="400" w:lineRule="exact"/>
        <w:ind w:firstLine="420" w:firstLineChars="200"/>
        <w:rPr>
          <w:rFonts w:hint="eastAsia" w:hAnsi="宋体" w:cs="宋体"/>
          <w:bCs/>
        </w:rPr>
      </w:pPr>
      <w:r>
        <w:rPr>
          <w:rFonts w:hint="eastAsia" w:hAnsi="宋体" w:cs="宋体"/>
          <w:bCs/>
        </w:rPr>
        <w:t>7.2本项目不可以分包。</w:t>
      </w:r>
    </w:p>
    <w:p w14:paraId="1266A954">
      <w:pPr>
        <w:pStyle w:val="11"/>
        <w:snapToGrid w:val="0"/>
        <w:spacing w:line="400" w:lineRule="exact"/>
        <w:ind w:firstLine="420" w:firstLineChars="200"/>
        <w:rPr>
          <w:rFonts w:hint="eastAsia" w:hAnsi="宋体" w:cs="宋体"/>
          <w:bCs/>
        </w:rPr>
      </w:pPr>
      <w:r>
        <w:rPr>
          <w:rFonts w:hint="eastAsia" w:hAnsi="宋体" w:cs="宋体"/>
          <w:bCs/>
        </w:rPr>
        <w:t>7.2.1享受扶持政策获得政府采购合同的，小微企业不得将合同分包给大中型企业，中型企业不得将合同分包给大型企业。</w:t>
      </w:r>
    </w:p>
    <w:p w14:paraId="077AC912">
      <w:pPr>
        <w:snapToGrid w:val="0"/>
        <w:spacing w:line="400" w:lineRule="exact"/>
        <w:ind w:firstLine="422" w:firstLineChars="200"/>
        <w:jc w:val="left"/>
        <w:rPr>
          <w:rFonts w:hint="eastAsia" w:ascii="宋体" w:hAnsi="宋体" w:cs="宋体"/>
          <w:b/>
          <w:szCs w:val="21"/>
        </w:rPr>
      </w:pPr>
      <w:bookmarkStart w:id="43" w:name="_Toc254970532"/>
      <w:bookmarkStart w:id="44" w:name="_Toc254970673"/>
      <w:r>
        <w:rPr>
          <w:rFonts w:hint="eastAsia" w:ascii="宋体" w:hAnsi="宋体" w:cs="宋体"/>
          <w:b/>
          <w:szCs w:val="21"/>
        </w:rPr>
        <w:t>8.特别说明</w:t>
      </w:r>
      <w:bookmarkEnd w:id="43"/>
      <w:bookmarkEnd w:id="44"/>
    </w:p>
    <w:p w14:paraId="0C806AF1">
      <w:pPr>
        <w:pStyle w:val="11"/>
        <w:snapToGrid w:val="0"/>
        <w:spacing w:line="400" w:lineRule="exact"/>
        <w:ind w:firstLine="420" w:firstLineChars="200"/>
        <w:rPr>
          <w:rFonts w:hint="eastAsia" w:hAnsi="宋体" w:cs="宋体"/>
          <w:bCs/>
        </w:rPr>
      </w:pPr>
      <w:bookmarkStart w:id="45" w:name="_Toc254970674"/>
      <w:bookmarkStart w:id="46" w:name="_Toc254970533"/>
      <w:r>
        <w:rPr>
          <w:rFonts w:hint="eastAsia" w:hAnsi="宋体" w:cs="宋体"/>
          <w:bCs/>
        </w:rPr>
        <w:t>8.1投标人投标所使用的资格、信誉、荣誉、业绩与企业认证必须为投标人所拥有。投标人投标的采购项目负责人必须为投标人员工（或必须本投标人或其控股公司员工）。</w:t>
      </w:r>
    </w:p>
    <w:p w14:paraId="35936A41">
      <w:pPr>
        <w:pStyle w:val="11"/>
        <w:snapToGrid w:val="0"/>
        <w:spacing w:line="400" w:lineRule="exact"/>
        <w:ind w:firstLine="420" w:firstLineChars="200"/>
        <w:rPr>
          <w:rFonts w:hint="eastAsia" w:hAnsi="宋体" w:cs="宋体"/>
          <w:bCs/>
        </w:rPr>
      </w:pPr>
      <w:r>
        <w:rPr>
          <w:rFonts w:hint="eastAsia" w:hAnsi="宋体" w:cs="宋体"/>
          <w:bCs/>
        </w:rPr>
        <w:t>8.2投标人应仔细阅读招标文件的所有内容，按照招标文件的要求提交投标文件，并对所提供的全部资料的真实性承担法律责任。</w:t>
      </w:r>
    </w:p>
    <w:p w14:paraId="73601D1F">
      <w:pPr>
        <w:pStyle w:val="11"/>
        <w:snapToGrid w:val="0"/>
        <w:spacing w:line="400" w:lineRule="exact"/>
        <w:ind w:firstLine="420" w:firstLineChars="200"/>
        <w:rPr>
          <w:rFonts w:hint="eastAsia" w:hAnsi="宋体" w:cs="宋体"/>
          <w:bCs/>
        </w:rPr>
      </w:pPr>
      <w:r>
        <w:rPr>
          <w:rFonts w:hint="eastAsia" w:hAnsi="宋体" w:cs="宋体"/>
          <w:bCs/>
        </w:rPr>
        <w:t>8.3关联供应商不得参加同一合同项下的政府采购活动，否则投标文件将被视为无效：</w:t>
      </w:r>
    </w:p>
    <w:p w14:paraId="494A227A">
      <w:pPr>
        <w:pStyle w:val="11"/>
        <w:snapToGrid w:val="0"/>
        <w:spacing w:line="400" w:lineRule="exact"/>
        <w:ind w:firstLine="420" w:firstLineChars="200"/>
        <w:rPr>
          <w:rFonts w:hint="eastAsia" w:hAnsi="宋体" w:cs="宋体"/>
          <w:bCs/>
        </w:rPr>
      </w:pPr>
      <w:r>
        <w:rPr>
          <w:rFonts w:hint="eastAsia" w:hAnsi="宋体" w:cs="宋体"/>
          <w:bCs/>
        </w:rPr>
        <w:t>8.3.1 单位负责人为同一人或者存在直接控股、管理关系的不同供应商，不得参加同一合同项下的政府采购活动。</w:t>
      </w:r>
    </w:p>
    <w:p w14:paraId="3C1971AC">
      <w:pPr>
        <w:pStyle w:val="11"/>
        <w:snapToGrid w:val="0"/>
        <w:spacing w:line="400" w:lineRule="exact"/>
        <w:ind w:firstLine="420" w:firstLineChars="200"/>
        <w:rPr>
          <w:rFonts w:hint="eastAsia" w:hAnsi="宋体" w:cs="宋体"/>
          <w:bCs/>
        </w:rPr>
      </w:pPr>
      <w:r>
        <w:rPr>
          <w:rFonts w:hint="eastAsia" w:hAnsi="宋体" w:cs="宋体"/>
          <w:bCs/>
        </w:rPr>
        <w:t>8.3.2生产厂商授权给供应商后自己不得参加同一合同项下的政府采购活动；生产厂商对同一品牌同一型号的货物，仅能委托一个代理商参加投标。</w:t>
      </w:r>
    </w:p>
    <w:p w14:paraId="372A94AC">
      <w:pPr>
        <w:pStyle w:val="11"/>
        <w:snapToGrid w:val="0"/>
        <w:spacing w:line="400" w:lineRule="exact"/>
        <w:ind w:firstLine="420" w:firstLineChars="200"/>
        <w:rPr>
          <w:rFonts w:hint="eastAsia" w:hAnsi="宋体" w:cs="宋体"/>
          <w:bCs/>
        </w:rPr>
      </w:pPr>
      <w:r>
        <w:rPr>
          <w:rFonts w:hint="eastAsia" w:hAnsi="宋体" w:cs="宋体"/>
          <w:bCs/>
        </w:rPr>
        <w:t>8.4除单一来源采购项目外，为采购项目提供整体设计、规范编制或者项目管理、监理、检测等服务的供应商，不得再参加该采购项目的其他采购活动。</w:t>
      </w:r>
    </w:p>
    <w:bookmarkEnd w:id="45"/>
    <w:bookmarkEnd w:id="46"/>
    <w:p w14:paraId="7796655F">
      <w:pPr>
        <w:snapToGrid w:val="0"/>
        <w:spacing w:line="400" w:lineRule="exact"/>
        <w:ind w:firstLine="422" w:firstLineChars="200"/>
        <w:jc w:val="left"/>
        <w:rPr>
          <w:rFonts w:hint="eastAsia" w:ascii="宋体" w:hAnsi="宋体" w:cs="宋体"/>
          <w:b/>
          <w:szCs w:val="21"/>
        </w:rPr>
      </w:pPr>
      <w:bookmarkStart w:id="47" w:name="_Toc254970675"/>
      <w:bookmarkStart w:id="48" w:name="_Toc254970534"/>
      <w:r>
        <w:rPr>
          <w:rFonts w:hint="eastAsia" w:ascii="宋体" w:hAnsi="宋体" w:cs="宋体"/>
          <w:b/>
          <w:szCs w:val="21"/>
        </w:rPr>
        <w:t>9.质疑和投诉</w:t>
      </w:r>
    </w:p>
    <w:p w14:paraId="5FBBD403">
      <w:pPr>
        <w:pStyle w:val="11"/>
        <w:snapToGrid w:val="0"/>
        <w:spacing w:line="400" w:lineRule="exact"/>
        <w:ind w:firstLine="422" w:firstLineChars="200"/>
        <w:rPr>
          <w:rFonts w:hint="eastAsia" w:hAnsi="宋体" w:cs="宋体"/>
          <w:bCs/>
        </w:rPr>
      </w:pPr>
      <w:r>
        <w:rPr>
          <w:rFonts w:hint="eastAsia" w:hAnsi="宋体" w:cs="宋体"/>
          <w:b/>
        </w:rPr>
        <w:t>注：投标人对电子标项目提出质疑和投诉的，应按照《政府采购质疑和投诉办法》（财政部令第94号）规定的方式提交质疑和投诉。</w:t>
      </w:r>
    </w:p>
    <w:p w14:paraId="43C16383">
      <w:pPr>
        <w:pStyle w:val="11"/>
        <w:snapToGrid w:val="0"/>
        <w:spacing w:line="400" w:lineRule="exact"/>
        <w:ind w:firstLine="420" w:firstLineChars="200"/>
        <w:rPr>
          <w:rFonts w:hint="eastAsia" w:hAnsi="宋体" w:cs="宋体"/>
          <w:bCs/>
        </w:rPr>
      </w:pPr>
      <w:r>
        <w:rPr>
          <w:rFonts w:hint="eastAsia" w:hAnsi="宋体" w:cs="宋体"/>
          <w:bCs/>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6D136C0F">
      <w:pPr>
        <w:pStyle w:val="11"/>
        <w:snapToGrid w:val="0"/>
        <w:spacing w:line="400" w:lineRule="exact"/>
        <w:ind w:firstLine="420" w:firstLineChars="200"/>
        <w:rPr>
          <w:rFonts w:hint="eastAsia" w:hAnsi="宋体" w:cs="宋体"/>
          <w:bCs/>
        </w:rPr>
      </w:pPr>
      <w:r>
        <w:rPr>
          <w:rFonts w:hint="eastAsia" w:hAnsi="宋体" w:cs="宋体"/>
          <w:bCs/>
        </w:rPr>
        <w:t>9.1.1对可以质疑的采购文件提出质疑的，为收到采购文件之日或者采购文件公告期限届满之日；</w:t>
      </w:r>
    </w:p>
    <w:p w14:paraId="1D2562A1">
      <w:pPr>
        <w:pStyle w:val="11"/>
        <w:snapToGrid w:val="0"/>
        <w:spacing w:line="400" w:lineRule="exact"/>
        <w:ind w:firstLine="420" w:firstLineChars="200"/>
        <w:rPr>
          <w:rFonts w:hint="eastAsia" w:hAnsi="宋体" w:cs="宋体"/>
          <w:bCs/>
        </w:rPr>
      </w:pPr>
      <w:r>
        <w:rPr>
          <w:rFonts w:hint="eastAsia" w:hAnsi="宋体" w:cs="宋体"/>
          <w:bCs/>
        </w:rPr>
        <w:t>9.1.2对采购过程提出质疑的，为各采购程序环节结束之日；</w:t>
      </w:r>
    </w:p>
    <w:p w14:paraId="3E45729C">
      <w:pPr>
        <w:pStyle w:val="11"/>
        <w:snapToGrid w:val="0"/>
        <w:spacing w:line="400" w:lineRule="exact"/>
        <w:ind w:firstLine="420" w:firstLineChars="200"/>
        <w:rPr>
          <w:rFonts w:hint="eastAsia" w:hAnsi="宋体" w:cs="宋体"/>
          <w:bCs/>
        </w:rPr>
      </w:pPr>
      <w:r>
        <w:rPr>
          <w:rFonts w:hint="eastAsia" w:hAnsi="宋体" w:cs="宋体"/>
          <w:bCs/>
        </w:rPr>
        <w:t>9.1.3对成交结果提出质疑的，为成交结果公告期限届满之日。</w:t>
      </w:r>
    </w:p>
    <w:p w14:paraId="094AA663">
      <w:pPr>
        <w:pStyle w:val="11"/>
        <w:snapToGrid w:val="0"/>
        <w:spacing w:line="400" w:lineRule="exact"/>
        <w:ind w:firstLine="420" w:firstLineChars="200"/>
        <w:rPr>
          <w:rFonts w:hint="eastAsia" w:hAnsi="宋体" w:cs="宋体"/>
          <w:bCs/>
        </w:rPr>
      </w:pPr>
      <w:r>
        <w:rPr>
          <w:rFonts w:hint="eastAsia" w:hAnsi="宋体" w:cs="宋体"/>
          <w:bCs/>
        </w:rPr>
        <w:t>投标人对采购人或采购代理机构的答复不满意或者采购人、采购代理机构未在规定时间内作出答复的，可以在答复期满后十五个工作日内向同级政府采购监管部门投诉。</w:t>
      </w:r>
    </w:p>
    <w:p w14:paraId="0FDDE408">
      <w:pPr>
        <w:pStyle w:val="11"/>
        <w:snapToGrid w:val="0"/>
        <w:spacing w:line="400" w:lineRule="exact"/>
        <w:ind w:firstLine="420" w:firstLineChars="200"/>
        <w:rPr>
          <w:rFonts w:hint="eastAsia" w:hAnsi="宋体" w:cs="宋体"/>
          <w:bCs/>
        </w:rPr>
      </w:pPr>
      <w:r>
        <w:rPr>
          <w:rFonts w:hint="eastAsia" w:hAnsi="宋体" w:cs="宋体"/>
          <w:bCs/>
        </w:rPr>
        <w:t xml:space="preserve">9.2采购人或采购代理机构（采购代理机构应当按照有关规定就采购人委托授权范围内的事项）在收到供应商的书面质疑后七个工作日内作出答复，但答复的内容不得涉及商业秘密。 </w:t>
      </w:r>
    </w:p>
    <w:p w14:paraId="4E81C5FF">
      <w:pPr>
        <w:pStyle w:val="11"/>
        <w:snapToGrid w:val="0"/>
        <w:spacing w:line="400" w:lineRule="exact"/>
        <w:ind w:firstLine="420" w:firstLineChars="200"/>
        <w:rPr>
          <w:rFonts w:hint="eastAsia" w:hAnsi="宋体" w:cs="宋体"/>
          <w:bCs/>
        </w:rPr>
      </w:pPr>
      <w:r>
        <w:rPr>
          <w:rFonts w:hint="eastAsia" w:hAnsi="宋体" w:cs="宋体"/>
          <w:bCs/>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63959F3A">
      <w:pPr>
        <w:pStyle w:val="11"/>
        <w:snapToGrid w:val="0"/>
        <w:spacing w:line="400" w:lineRule="exact"/>
        <w:ind w:firstLine="420" w:firstLineChars="200"/>
        <w:rPr>
          <w:rFonts w:hint="eastAsia" w:hAnsi="宋体" w:cs="宋体"/>
          <w:bCs/>
        </w:rPr>
      </w:pPr>
      <w:r>
        <w:rPr>
          <w:rFonts w:hint="eastAsia" w:hAnsi="宋体" w:cs="宋体"/>
          <w:bCs/>
        </w:rPr>
        <w:t>9.4质疑书面要求</w:t>
      </w:r>
    </w:p>
    <w:p w14:paraId="7E0A5ADE">
      <w:pPr>
        <w:pStyle w:val="11"/>
        <w:spacing w:line="400" w:lineRule="exact"/>
        <w:ind w:firstLine="420" w:firstLineChars="200"/>
        <w:rPr>
          <w:rFonts w:hint="eastAsia" w:hAnsi="宋体" w:cs="宋体"/>
        </w:rPr>
      </w:pPr>
      <w:r>
        <w:rPr>
          <w:rFonts w:hint="eastAsia" w:hAnsi="宋体" w:cs="宋体"/>
          <w:bCs/>
        </w:rPr>
        <w:t>9.4.1质疑人质疑时须提交质疑</w:t>
      </w:r>
      <w:r>
        <w:rPr>
          <w:rFonts w:hint="eastAsia" w:hAnsi="宋体" w:cs="宋体"/>
        </w:rPr>
        <w:t>函和必要的证明材料，供应商须在法定质疑期内一次性提出针对同一采购程序环节的质疑。</w:t>
      </w:r>
      <w:r>
        <w:rPr>
          <w:rFonts w:hint="eastAsia" w:hAnsi="宋体" w:cs="宋体"/>
          <w:bCs/>
        </w:rPr>
        <w:t>质疑函至少包括下列主要内容：</w:t>
      </w:r>
    </w:p>
    <w:p w14:paraId="6E4CFEF1">
      <w:pPr>
        <w:pStyle w:val="11"/>
        <w:numPr>
          <w:ilvl w:val="0"/>
          <w:numId w:val="3"/>
        </w:numPr>
        <w:tabs>
          <w:tab w:val="left" w:pos="1150"/>
          <w:tab w:val="left" w:pos="1350"/>
        </w:tabs>
        <w:spacing w:line="400" w:lineRule="exact"/>
        <w:rPr>
          <w:rFonts w:hint="eastAsia" w:hAnsi="宋体" w:cs="宋体"/>
        </w:rPr>
      </w:pPr>
      <w:r>
        <w:rPr>
          <w:rFonts w:hint="eastAsia" w:hAnsi="宋体" w:cs="宋体"/>
        </w:rPr>
        <w:t>供应商的姓名或名称、地址、邮编、联系人及联系电话；</w:t>
      </w:r>
    </w:p>
    <w:p w14:paraId="1ADD4CFA">
      <w:pPr>
        <w:pStyle w:val="11"/>
        <w:numPr>
          <w:ilvl w:val="0"/>
          <w:numId w:val="3"/>
        </w:numPr>
        <w:spacing w:line="400" w:lineRule="exact"/>
        <w:rPr>
          <w:rFonts w:hint="eastAsia" w:hAnsi="宋体" w:cs="宋体"/>
        </w:rPr>
      </w:pPr>
      <w:r>
        <w:rPr>
          <w:rFonts w:hint="eastAsia" w:hAnsi="宋体" w:cs="宋体"/>
        </w:rPr>
        <w:t>质疑项目的名称、编号；</w:t>
      </w:r>
    </w:p>
    <w:p w14:paraId="36DEDC2D">
      <w:pPr>
        <w:pStyle w:val="11"/>
        <w:numPr>
          <w:ilvl w:val="0"/>
          <w:numId w:val="3"/>
        </w:numPr>
        <w:spacing w:line="400" w:lineRule="exact"/>
        <w:rPr>
          <w:rFonts w:hint="eastAsia" w:hAnsi="宋体" w:cs="宋体"/>
        </w:rPr>
      </w:pPr>
      <w:r>
        <w:rPr>
          <w:rFonts w:hint="eastAsia" w:hAnsi="宋体" w:cs="宋体"/>
        </w:rPr>
        <w:t>具体、明确的质疑事项和与质疑事项相关的请求；</w:t>
      </w:r>
    </w:p>
    <w:p w14:paraId="1EB17D85">
      <w:pPr>
        <w:pStyle w:val="11"/>
        <w:numPr>
          <w:ilvl w:val="0"/>
          <w:numId w:val="3"/>
        </w:numPr>
        <w:spacing w:line="400" w:lineRule="exact"/>
        <w:rPr>
          <w:rFonts w:hint="eastAsia" w:hAnsi="宋体" w:cs="宋体"/>
        </w:rPr>
      </w:pPr>
      <w:r>
        <w:rPr>
          <w:rFonts w:hint="eastAsia" w:hAnsi="宋体" w:cs="宋体"/>
        </w:rPr>
        <w:t>事实依据；</w:t>
      </w:r>
    </w:p>
    <w:p w14:paraId="1A29229F">
      <w:pPr>
        <w:pStyle w:val="11"/>
        <w:numPr>
          <w:ilvl w:val="0"/>
          <w:numId w:val="3"/>
        </w:numPr>
        <w:spacing w:line="400" w:lineRule="exact"/>
        <w:rPr>
          <w:rFonts w:hint="eastAsia" w:hAnsi="宋体" w:cs="宋体"/>
        </w:rPr>
      </w:pPr>
      <w:r>
        <w:rPr>
          <w:rFonts w:hint="eastAsia" w:hAnsi="宋体" w:cs="宋体"/>
        </w:rPr>
        <w:t>必要的法律依据；</w:t>
      </w:r>
    </w:p>
    <w:p w14:paraId="3721F64B">
      <w:pPr>
        <w:pStyle w:val="11"/>
        <w:numPr>
          <w:ilvl w:val="0"/>
          <w:numId w:val="3"/>
        </w:numPr>
        <w:spacing w:line="400" w:lineRule="exact"/>
        <w:ind w:left="1025" w:hanging="590"/>
        <w:rPr>
          <w:rFonts w:hint="eastAsia" w:hAnsi="宋体" w:cs="宋体"/>
        </w:rPr>
      </w:pPr>
      <w:r>
        <w:rPr>
          <w:rFonts w:hint="eastAsia" w:hAnsi="宋体" w:cs="宋体"/>
        </w:rPr>
        <w:t>提出质疑的日期。</w:t>
      </w:r>
    </w:p>
    <w:p w14:paraId="2CF26E7E">
      <w:pPr>
        <w:pStyle w:val="11"/>
        <w:snapToGrid w:val="0"/>
        <w:spacing w:line="400" w:lineRule="exact"/>
        <w:ind w:firstLine="420" w:firstLineChars="200"/>
        <w:rPr>
          <w:rFonts w:hint="eastAsia" w:hAnsi="宋体" w:cs="宋体"/>
          <w:bCs/>
        </w:rPr>
      </w:pPr>
      <w:r>
        <w:rPr>
          <w:rFonts w:hint="eastAsia" w:hAnsi="宋体" w:cs="宋体"/>
          <w:bCs/>
        </w:rPr>
        <w:t>供应商为自然人的，应当由本人签字；供应商为法人或者其他组织的，应当由法定代表人、主要负责人，或其授权代表签字或者盖章，并加盖CA电子签章。</w:t>
      </w:r>
    </w:p>
    <w:p w14:paraId="6B85AA0B">
      <w:pPr>
        <w:pStyle w:val="11"/>
        <w:spacing w:line="400" w:lineRule="exact"/>
        <w:ind w:firstLine="420" w:firstLineChars="200"/>
        <w:rPr>
          <w:rFonts w:hint="eastAsia" w:hAnsi="宋体" w:cs="宋体"/>
        </w:rPr>
      </w:pPr>
      <w:r>
        <w:rPr>
          <w:rFonts w:hint="eastAsia" w:hAnsi="宋体" w:cs="宋体"/>
          <w:bCs/>
        </w:rPr>
        <w:t>代理人提出质疑和投诉，应当提交供应商签署的授权委托书。</w:t>
      </w:r>
    </w:p>
    <w:p w14:paraId="01D952C6">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9.5接收质疑函的方式：质疑人必须以书面形式向采购人、采购代理机构提出质疑，质疑人至我中心递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CA电子签章）和本人有效的居民身份证原件。</w:t>
      </w:r>
    </w:p>
    <w:p w14:paraId="09492344">
      <w:pPr>
        <w:snapToGrid w:val="0"/>
        <w:spacing w:line="400" w:lineRule="exact"/>
        <w:ind w:firstLine="420"/>
        <w:jc w:val="left"/>
        <w:rPr>
          <w:rFonts w:hint="eastAsia" w:ascii="宋体" w:hAnsi="宋体" w:cs="宋体"/>
          <w:szCs w:val="21"/>
        </w:rPr>
      </w:pPr>
      <w:r>
        <w:rPr>
          <w:rFonts w:hint="eastAsia" w:ascii="宋体" w:hAnsi="宋体" w:cs="宋体"/>
          <w:szCs w:val="21"/>
        </w:rPr>
        <w:t>9.6联系部门：广西同泽工程项目管理股份有限公司。</w:t>
      </w:r>
    </w:p>
    <w:p w14:paraId="55DA970F">
      <w:pPr>
        <w:snapToGrid w:val="0"/>
        <w:spacing w:line="400" w:lineRule="exact"/>
        <w:ind w:firstLine="420"/>
        <w:jc w:val="left"/>
        <w:rPr>
          <w:rFonts w:hint="eastAsia" w:ascii="宋体" w:hAnsi="宋体" w:cs="宋体"/>
          <w:szCs w:val="21"/>
        </w:rPr>
      </w:pPr>
      <w:r>
        <w:rPr>
          <w:rFonts w:hint="eastAsia" w:ascii="宋体" w:hAnsi="宋体" w:cs="宋体"/>
          <w:szCs w:val="21"/>
        </w:rPr>
        <w:t>9.7联系电话：0772-3808868。</w:t>
      </w:r>
    </w:p>
    <w:p w14:paraId="3DE2037D">
      <w:pPr>
        <w:snapToGrid w:val="0"/>
        <w:spacing w:line="400" w:lineRule="exact"/>
        <w:ind w:firstLine="420"/>
        <w:jc w:val="left"/>
        <w:rPr>
          <w:rFonts w:hint="eastAsia" w:ascii="宋体" w:hAnsi="宋体" w:cs="宋体"/>
          <w:szCs w:val="21"/>
        </w:rPr>
      </w:pPr>
      <w:r>
        <w:rPr>
          <w:rFonts w:hint="eastAsia" w:ascii="宋体" w:hAnsi="宋体" w:cs="宋体"/>
          <w:szCs w:val="21"/>
        </w:rPr>
        <w:t>9.8通讯地址：柳州市桂中大道南端6号九洲国际10楼。</w:t>
      </w:r>
    </w:p>
    <w:p w14:paraId="22ACB64B">
      <w:pPr>
        <w:snapToGrid w:val="0"/>
        <w:spacing w:line="400" w:lineRule="exact"/>
        <w:ind w:firstLine="420"/>
        <w:jc w:val="left"/>
        <w:rPr>
          <w:rFonts w:hint="eastAsia" w:ascii="宋体" w:hAnsi="宋体" w:cs="宋体"/>
          <w:szCs w:val="21"/>
        </w:rPr>
      </w:pPr>
      <w:r>
        <w:rPr>
          <w:rFonts w:hint="eastAsia" w:ascii="宋体" w:hAnsi="宋体" w:cs="宋体"/>
          <w:szCs w:val="21"/>
        </w:rPr>
        <w:t>9.9现场提交质疑办理业务时间：工作日8时30分到12时00分，15时00分到18时 00分，业务时间以外、双休日和法定节假日不办理业务。</w:t>
      </w:r>
    </w:p>
    <w:p w14:paraId="56DA1397">
      <w:pPr>
        <w:snapToGrid w:val="0"/>
        <w:spacing w:line="400" w:lineRule="exact"/>
        <w:ind w:firstLine="420"/>
        <w:jc w:val="left"/>
        <w:rPr>
          <w:rFonts w:hint="eastAsia" w:ascii="宋体" w:hAnsi="宋体" w:cs="宋体"/>
          <w:szCs w:val="21"/>
        </w:rPr>
      </w:pPr>
      <w:r>
        <w:rPr>
          <w:rFonts w:hint="eastAsia" w:ascii="宋体" w:hAnsi="宋体" w:cs="宋体"/>
          <w:szCs w:val="21"/>
        </w:rPr>
        <w:t>9.10投诉的书面要求</w:t>
      </w:r>
    </w:p>
    <w:p w14:paraId="072E787A">
      <w:pPr>
        <w:snapToGrid w:val="0"/>
        <w:spacing w:line="400" w:lineRule="exact"/>
        <w:ind w:firstLine="420"/>
        <w:jc w:val="left"/>
        <w:rPr>
          <w:rFonts w:hint="eastAsia" w:ascii="宋体" w:hAnsi="宋体" w:cs="宋体"/>
          <w:szCs w:val="21"/>
        </w:rPr>
      </w:pPr>
      <w:r>
        <w:rPr>
          <w:rFonts w:hint="eastAsia" w:ascii="宋体" w:hAnsi="宋体" w:cs="宋体"/>
          <w:szCs w:val="21"/>
        </w:rPr>
        <w:t>9.10.1符合《政府采购质疑和投诉办法》（财政部第94号令）要求。</w:t>
      </w:r>
    </w:p>
    <w:p w14:paraId="1CD09406">
      <w:pPr>
        <w:pStyle w:val="11"/>
        <w:snapToGrid w:val="0"/>
        <w:spacing w:line="400" w:lineRule="exact"/>
        <w:ind w:firstLine="413" w:firstLineChars="196"/>
        <w:rPr>
          <w:rFonts w:hint="eastAsia" w:hAnsi="宋体" w:cs="宋体"/>
          <w:b/>
        </w:rPr>
      </w:pPr>
      <w:r>
        <w:rPr>
          <w:rFonts w:hint="eastAsia" w:hAnsi="宋体" w:cs="宋体"/>
          <w:b/>
        </w:rPr>
        <w:t>二、招标文件</w:t>
      </w:r>
      <w:bookmarkEnd w:id="47"/>
      <w:bookmarkEnd w:id="48"/>
    </w:p>
    <w:p w14:paraId="08CB6A66">
      <w:pPr>
        <w:snapToGrid w:val="0"/>
        <w:spacing w:line="400" w:lineRule="exact"/>
        <w:ind w:firstLine="413" w:firstLineChars="196"/>
        <w:jc w:val="left"/>
        <w:rPr>
          <w:rFonts w:hint="eastAsia" w:ascii="宋体" w:hAnsi="宋体" w:cs="宋体"/>
          <w:b/>
          <w:szCs w:val="21"/>
        </w:rPr>
      </w:pPr>
      <w:r>
        <w:rPr>
          <w:rFonts w:hint="eastAsia" w:ascii="宋体" w:hAnsi="宋体" w:cs="宋体"/>
          <w:b/>
          <w:szCs w:val="21"/>
        </w:rPr>
        <w:t>10.招标文件的构成</w:t>
      </w:r>
    </w:p>
    <w:p w14:paraId="7EBD71B7">
      <w:pPr>
        <w:snapToGrid w:val="0"/>
        <w:spacing w:line="400" w:lineRule="exact"/>
        <w:ind w:firstLine="420"/>
        <w:jc w:val="left"/>
        <w:rPr>
          <w:rFonts w:hint="eastAsia" w:ascii="宋体" w:hAnsi="宋体" w:cs="宋体"/>
          <w:szCs w:val="21"/>
        </w:rPr>
      </w:pPr>
      <w:r>
        <w:rPr>
          <w:rFonts w:hint="eastAsia" w:ascii="宋体" w:hAnsi="宋体" w:cs="宋体"/>
          <w:szCs w:val="21"/>
        </w:rPr>
        <w:t>（1）公开招标公告；</w:t>
      </w:r>
    </w:p>
    <w:p w14:paraId="44C06F31">
      <w:pPr>
        <w:snapToGrid w:val="0"/>
        <w:spacing w:line="400" w:lineRule="exact"/>
        <w:ind w:firstLine="420"/>
        <w:jc w:val="left"/>
        <w:rPr>
          <w:rFonts w:hint="eastAsia" w:ascii="宋体" w:hAnsi="宋体" w:cs="宋体"/>
          <w:szCs w:val="21"/>
        </w:rPr>
      </w:pPr>
      <w:r>
        <w:rPr>
          <w:rFonts w:hint="eastAsia" w:ascii="宋体" w:hAnsi="宋体" w:cs="宋体"/>
          <w:szCs w:val="21"/>
        </w:rPr>
        <w:t>（2）采购需求；</w:t>
      </w:r>
    </w:p>
    <w:p w14:paraId="2576926E">
      <w:pPr>
        <w:snapToGrid w:val="0"/>
        <w:spacing w:line="400" w:lineRule="exact"/>
        <w:ind w:firstLine="420"/>
        <w:jc w:val="left"/>
        <w:rPr>
          <w:rFonts w:hint="eastAsia" w:ascii="宋体" w:hAnsi="宋体" w:cs="宋体"/>
          <w:szCs w:val="21"/>
        </w:rPr>
      </w:pPr>
      <w:r>
        <w:rPr>
          <w:rFonts w:hint="eastAsia" w:ascii="宋体" w:hAnsi="宋体" w:cs="宋体"/>
          <w:szCs w:val="21"/>
        </w:rPr>
        <w:t>（3）投标人须知；</w:t>
      </w:r>
    </w:p>
    <w:p w14:paraId="50DC4174">
      <w:pPr>
        <w:snapToGrid w:val="0"/>
        <w:spacing w:line="400" w:lineRule="exact"/>
        <w:ind w:firstLine="420"/>
        <w:jc w:val="left"/>
        <w:rPr>
          <w:rFonts w:hint="eastAsia" w:ascii="宋体" w:hAnsi="宋体" w:cs="宋体"/>
          <w:szCs w:val="21"/>
        </w:rPr>
      </w:pPr>
      <w:r>
        <w:rPr>
          <w:rFonts w:hint="eastAsia" w:ascii="宋体" w:hAnsi="宋体" w:cs="宋体"/>
          <w:szCs w:val="21"/>
        </w:rPr>
        <w:t>（4）评标方法及评标标准；</w:t>
      </w:r>
    </w:p>
    <w:p w14:paraId="2CC7E186">
      <w:pPr>
        <w:snapToGrid w:val="0"/>
        <w:spacing w:line="400" w:lineRule="exact"/>
        <w:ind w:firstLine="420"/>
        <w:jc w:val="left"/>
        <w:rPr>
          <w:rFonts w:hint="eastAsia" w:ascii="宋体" w:hAnsi="宋体" w:cs="宋体"/>
          <w:szCs w:val="21"/>
        </w:rPr>
      </w:pPr>
      <w:r>
        <w:rPr>
          <w:rFonts w:hint="eastAsia" w:ascii="宋体" w:hAnsi="宋体" w:cs="宋体"/>
          <w:szCs w:val="21"/>
        </w:rPr>
        <w:t>（5）合同主要条款格式及合同验收书格式；</w:t>
      </w:r>
    </w:p>
    <w:p w14:paraId="0B23981E">
      <w:pPr>
        <w:snapToGrid w:val="0"/>
        <w:spacing w:line="400" w:lineRule="exact"/>
        <w:ind w:firstLine="420"/>
        <w:jc w:val="left"/>
        <w:rPr>
          <w:rFonts w:hint="eastAsia" w:ascii="宋体" w:hAnsi="宋体" w:cs="宋体"/>
          <w:szCs w:val="21"/>
        </w:rPr>
      </w:pPr>
      <w:r>
        <w:rPr>
          <w:rFonts w:hint="eastAsia" w:ascii="宋体" w:hAnsi="宋体" w:cs="宋体"/>
          <w:szCs w:val="21"/>
        </w:rPr>
        <w:t>（6）投标文件格式。</w:t>
      </w:r>
    </w:p>
    <w:p w14:paraId="6F8F607B">
      <w:pPr>
        <w:snapToGrid w:val="0"/>
        <w:spacing w:line="400" w:lineRule="exact"/>
        <w:ind w:firstLine="413" w:firstLineChars="196"/>
        <w:jc w:val="left"/>
        <w:rPr>
          <w:rFonts w:hint="eastAsia" w:ascii="宋体" w:hAnsi="宋体" w:cs="宋体"/>
          <w:b/>
          <w:szCs w:val="21"/>
        </w:rPr>
      </w:pPr>
      <w:r>
        <w:rPr>
          <w:rFonts w:hint="eastAsia" w:ascii="宋体" w:hAnsi="宋体" w:cs="宋体"/>
          <w:b/>
          <w:szCs w:val="21"/>
        </w:rPr>
        <w:t>11.投标人的风险</w:t>
      </w:r>
    </w:p>
    <w:p w14:paraId="6A75479E">
      <w:pPr>
        <w:snapToGrid w:val="0"/>
        <w:spacing w:line="400" w:lineRule="exact"/>
        <w:ind w:firstLine="420"/>
        <w:jc w:val="left"/>
        <w:rPr>
          <w:rFonts w:hint="eastAsia" w:ascii="宋体" w:hAnsi="宋体" w:cs="宋体"/>
          <w:szCs w:val="21"/>
        </w:rPr>
      </w:pPr>
      <w:r>
        <w:rPr>
          <w:rFonts w:hint="eastAsia" w:ascii="宋体" w:hAnsi="宋体" w:cs="宋体"/>
          <w:szCs w:val="21"/>
        </w:rPr>
        <w:t>11.1投标人没有按照招标文件要求提供全部资料，或者投标人没有对招标文件在各方面作出实质性响应是投标人的风险，并可能导致其投标被拒绝。</w:t>
      </w:r>
    </w:p>
    <w:p w14:paraId="304958D5">
      <w:pPr>
        <w:snapToGrid w:val="0"/>
        <w:spacing w:line="400" w:lineRule="exact"/>
        <w:ind w:firstLine="413" w:firstLineChars="196"/>
        <w:jc w:val="left"/>
        <w:rPr>
          <w:rFonts w:hint="eastAsia" w:ascii="宋体" w:hAnsi="宋体" w:cs="宋体"/>
          <w:b/>
          <w:szCs w:val="21"/>
        </w:rPr>
      </w:pPr>
      <w:r>
        <w:rPr>
          <w:rFonts w:hint="eastAsia" w:ascii="宋体" w:hAnsi="宋体" w:cs="宋体"/>
          <w:b/>
          <w:szCs w:val="21"/>
        </w:rPr>
        <w:t xml:space="preserve">12.招标文件的澄清与修改 </w:t>
      </w:r>
    </w:p>
    <w:p w14:paraId="08E1B474">
      <w:pPr>
        <w:snapToGrid w:val="0"/>
        <w:spacing w:line="400" w:lineRule="exact"/>
        <w:ind w:firstLine="420"/>
        <w:jc w:val="left"/>
        <w:rPr>
          <w:rFonts w:hint="eastAsia" w:ascii="宋体" w:hAnsi="宋体" w:cs="宋体"/>
          <w:szCs w:val="21"/>
        </w:rPr>
      </w:pPr>
      <w:r>
        <w:rPr>
          <w:rFonts w:hint="eastAsia" w:ascii="宋体" w:hAnsi="宋体" w:cs="宋体"/>
          <w:szCs w:val="21"/>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55D48E25">
      <w:pPr>
        <w:snapToGrid w:val="0"/>
        <w:spacing w:line="400" w:lineRule="exact"/>
        <w:ind w:firstLine="420"/>
        <w:jc w:val="left"/>
        <w:rPr>
          <w:rFonts w:hint="eastAsia" w:ascii="宋体" w:hAnsi="宋体" w:cs="宋体"/>
          <w:szCs w:val="21"/>
        </w:rPr>
      </w:pPr>
      <w:r>
        <w:rPr>
          <w:rFonts w:hint="eastAsia" w:ascii="宋体" w:hAnsi="宋体" w:cs="宋体"/>
          <w:szCs w:val="21"/>
        </w:rPr>
        <w:t>12.2采购人或采购代理机构以书面形式答复投标人询问的问题，除书面答复以外的其他澄清方式及澄清内容均无效。</w:t>
      </w:r>
    </w:p>
    <w:p w14:paraId="565E10A2">
      <w:pPr>
        <w:snapToGrid w:val="0"/>
        <w:spacing w:line="400" w:lineRule="exact"/>
        <w:ind w:firstLine="420"/>
        <w:jc w:val="left"/>
        <w:rPr>
          <w:rFonts w:hint="eastAsia" w:ascii="宋体" w:hAnsi="宋体" w:cs="宋体"/>
          <w:szCs w:val="21"/>
        </w:rPr>
      </w:pPr>
      <w:r>
        <w:rPr>
          <w:rFonts w:hint="eastAsia" w:ascii="宋体" w:hAnsi="宋体" w:cs="宋体"/>
          <w:szCs w:val="21"/>
        </w:rPr>
        <w:t>12.3招标文件澄清、答复、修改、补充的内容为招标文件的组成部分。当招标文件与招标文件的答复、澄清、修改、补充通知就同一内容的表述不一致时，以最后发出的书面文件为准。</w:t>
      </w:r>
    </w:p>
    <w:p w14:paraId="71B105F8">
      <w:pPr>
        <w:snapToGrid w:val="0"/>
        <w:spacing w:line="400" w:lineRule="exact"/>
        <w:ind w:firstLine="420"/>
        <w:jc w:val="left"/>
        <w:rPr>
          <w:rFonts w:hint="eastAsia" w:ascii="宋体" w:hAnsi="宋体" w:cs="宋体"/>
          <w:szCs w:val="21"/>
        </w:rPr>
      </w:pPr>
      <w:r>
        <w:rPr>
          <w:rFonts w:hint="eastAsia" w:ascii="宋体" w:hAnsi="宋体" w:cs="宋体"/>
          <w:szCs w:val="21"/>
        </w:rPr>
        <w:t>12.4招标文件的澄清、答复、修改或补充都应该通过本采购代理机构以法定形式发布，采购人非通过代理机构，不得擅自澄清、答复、修改或补充招标文件。</w:t>
      </w:r>
    </w:p>
    <w:p w14:paraId="2F3EE33F">
      <w:pPr>
        <w:snapToGrid w:val="0"/>
        <w:spacing w:line="400" w:lineRule="exact"/>
        <w:ind w:firstLine="420"/>
        <w:jc w:val="left"/>
        <w:rPr>
          <w:rFonts w:hint="eastAsia" w:ascii="宋体" w:hAnsi="宋体" w:cs="宋体"/>
          <w:szCs w:val="21"/>
        </w:rPr>
      </w:pPr>
      <w:r>
        <w:rPr>
          <w:rFonts w:hint="eastAsia" w:ascii="宋体" w:hAnsi="宋体" w:cs="宋体"/>
          <w:szCs w:val="21"/>
        </w:rPr>
        <w:t>12.5采购人或采购代理机构可以视采购具体情况，延长招标文件提供期限，并在财政部门指定的政府采购信息发布媒体上发布公告。</w:t>
      </w:r>
    </w:p>
    <w:p w14:paraId="1AA0ADF3">
      <w:pPr>
        <w:snapToGrid w:val="0"/>
        <w:spacing w:line="400" w:lineRule="exact"/>
        <w:ind w:firstLine="413" w:firstLineChars="196"/>
        <w:jc w:val="left"/>
        <w:rPr>
          <w:rFonts w:hint="eastAsia" w:ascii="宋体" w:hAnsi="宋体" w:cs="宋体"/>
          <w:b/>
          <w:szCs w:val="21"/>
        </w:rPr>
      </w:pPr>
      <w:bookmarkStart w:id="49" w:name="_Toc254970535"/>
      <w:bookmarkStart w:id="50" w:name="_Toc254970676"/>
      <w:r>
        <w:rPr>
          <w:rFonts w:hint="eastAsia" w:ascii="宋体" w:hAnsi="宋体" w:cs="宋体"/>
          <w:b/>
          <w:szCs w:val="21"/>
        </w:rPr>
        <w:t>三、投标文件的编制</w:t>
      </w:r>
      <w:bookmarkEnd w:id="49"/>
      <w:bookmarkEnd w:id="50"/>
    </w:p>
    <w:p w14:paraId="213DF063">
      <w:pPr>
        <w:snapToGrid w:val="0"/>
        <w:spacing w:line="400" w:lineRule="exact"/>
        <w:ind w:firstLine="413" w:firstLineChars="196"/>
        <w:jc w:val="left"/>
        <w:rPr>
          <w:rFonts w:hint="eastAsia" w:ascii="宋体" w:hAnsi="宋体" w:cs="宋体"/>
          <w:b/>
          <w:szCs w:val="21"/>
        </w:rPr>
      </w:pPr>
      <w:r>
        <w:rPr>
          <w:rFonts w:hint="eastAsia" w:ascii="宋体" w:hAnsi="宋体" w:cs="宋体"/>
          <w:b/>
          <w:szCs w:val="21"/>
        </w:rPr>
        <w:t>13.投标文件的组成</w:t>
      </w:r>
    </w:p>
    <w:p w14:paraId="603BC6C7">
      <w:pPr>
        <w:snapToGrid w:val="0"/>
        <w:spacing w:line="400" w:lineRule="exact"/>
        <w:ind w:firstLine="422" w:firstLineChars="200"/>
        <w:jc w:val="left"/>
        <w:rPr>
          <w:rFonts w:hint="eastAsia" w:ascii="宋体" w:hAnsi="宋体" w:cs="宋体"/>
          <w:b/>
          <w:bCs/>
          <w:szCs w:val="21"/>
        </w:rPr>
      </w:pPr>
      <w:r>
        <w:rPr>
          <w:rFonts w:hint="eastAsia" w:ascii="宋体" w:hAnsi="宋体" w:cs="宋体"/>
          <w:b/>
          <w:bCs/>
          <w:szCs w:val="21"/>
        </w:rPr>
        <w:t>13.1投标文件由资格文件、报价文件、商务技术文件三部分组成。</w:t>
      </w:r>
    </w:p>
    <w:p w14:paraId="70459EB3">
      <w:pPr>
        <w:snapToGrid w:val="0"/>
        <w:spacing w:line="400" w:lineRule="exact"/>
        <w:ind w:firstLine="420"/>
        <w:jc w:val="left"/>
        <w:rPr>
          <w:rFonts w:hint="eastAsia" w:ascii="宋体" w:hAnsi="宋体" w:cs="宋体"/>
          <w:b/>
          <w:bCs/>
          <w:szCs w:val="21"/>
        </w:rPr>
      </w:pPr>
      <w:r>
        <w:rPr>
          <w:rFonts w:hint="eastAsia" w:ascii="宋体" w:hAnsi="宋体" w:cs="宋体"/>
          <w:b/>
          <w:bCs/>
          <w:szCs w:val="21"/>
        </w:rPr>
        <w:t>13.1.1资格文件</w:t>
      </w:r>
    </w:p>
    <w:p w14:paraId="39E63423">
      <w:pPr>
        <w:tabs>
          <w:tab w:val="left" w:pos="3870"/>
          <w:tab w:val="left" w:pos="4085"/>
        </w:tabs>
        <w:snapToGrid w:val="0"/>
        <w:spacing w:line="400" w:lineRule="exact"/>
        <w:ind w:firstLine="422" w:firstLineChars="200"/>
        <w:jc w:val="left"/>
        <w:rPr>
          <w:rFonts w:hint="eastAsia" w:ascii="宋体" w:hAnsi="宋体" w:cs="宋体"/>
          <w:b/>
          <w:bCs/>
          <w:szCs w:val="21"/>
        </w:rPr>
      </w:pPr>
      <w:r>
        <w:rPr>
          <w:rFonts w:hint="eastAsia" w:ascii="宋体" w:hAnsi="宋体" w:cs="宋体"/>
          <w:b/>
          <w:bCs/>
          <w:szCs w:val="21"/>
        </w:rPr>
        <w:t>注：以下各项必须提供并加盖供应商CA电子签章、按照第六章格式要求签字，否则其投标无效。</w:t>
      </w:r>
    </w:p>
    <w:p w14:paraId="4F6AE6F9">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（1）法定代表人身份证明书（</w:t>
      </w:r>
      <w:r>
        <w:rPr>
          <w:rFonts w:hint="eastAsia" w:ascii="宋体" w:hAnsi="宋体" w:cs="宋体"/>
          <w:b/>
          <w:bCs/>
          <w:szCs w:val="21"/>
        </w:rPr>
        <w:t>必须提供</w:t>
      </w:r>
      <w:r>
        <w:rPr>
          <w:rFonts w:hint="eastAsia" w:ascii="宋体" w:hAnsi="宋体" w:cs="宋体"/>
          <w:szCs w:val="21"/>
        </w:rPr>
        <w:t>，格式见第六章）；</w:t>
      </w:r>
    </w:p>
    <w:p w14:paraId="532BCA81">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（2）法定代表人授权委托书（</w:t>
      </w:r>
      <w:r>
        <w:rPr>
          <w:rFonts w:hint="eastAsia" w:ascii="宋体" w:hAnsi="宋体" w:cs="宋体"/>
          <w:b/>
          <w:bCs/>
          <w:szCs w:val="21"/>
        </w:rPr>
        <w:t>委托代理时必须提供，</w:t>
      </w:r>
      <w:r>
        <w:rPr>
          <w:rFonts w:hint="eastAsia" w:ascii="宋体" w:hAnsi="宋体" w:cs="宋体"/>
          <w:szCs w:val="21"/>
        </w:rPr>
        <w:t xml:space="preserve">格式见第六章）； </w:t>
      </w:r>
    </w:p>
    <w:p w14:paraId="52048DDB">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人2022年度或2023年度财务状况报告（表）复印件或银行出具的资信证明复印件，对于从取得营业执照时间起到响应文件递交截止时间为止不足1年的供应商，只需提交响应文件递交截止时间前一个月的财务状况报告（表）复印件（</w:t>
      </w:r>
      <w:r>
        <w:rPr>
          <w:rFonts w:hint="eastAsia" w:ascii="宋体" w:hAnsi="宋体" w:cs="宋体"/>
          <w:b/>
          <w:bCs/>
          <w:szCs w:val="21"/>
        </w:rPr>
        <w:t>必须提供</w:t>
      </w:r>
      <w:r>
        <w:rPr>
          <w:rFonts w:hint="eastAsia" w:ascii="宋体" w:hAnsi="宋体" w:cs="宋体"/>
          <w:szCs w:val="21"/>
        </w:rPr>
        <w:t>）；</w:t>
      </w:r>
    </w:p>
    <w:p w14:paraId="13C2DFFB">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（4）投标截止时间前8个月内，供应商任意1个月依法缴纳税费证明复印件，依法免税的供应商，须提供相应文件证明其依法免税（</w:t>
      </w:r>
      <w:r>
        <w:rPr>
          <w:rFonts w:hint="eastAsia" w:ascii="宋体" w:hAnsi="宋体" w:cs="宋体"/>
          <w:b/>
          <w:bCs/>
          <w:szCs w:val="21"/>
        </w:rPr>
        <w:t>必须提供</w:t>
      </w:r>
      <w:r>
        <w:rPr>
          <w:rFonts w:hint="eastAsia" w:ascii="宋体" w:hAnsi="宋体" w:cs="宋体"/>
          <w:szCs w:val="21"/>
        </w:rPr>
        <w:t>）；</w:t>
      </w:r>
    </w:p>
    <w:p w14:paraId="3617565C">
      <w:pPr>
        <w:tabs>
          <w:tab w:val="left" w:pos="3870"/>
          <w:tab w:val="left" w:pos="4085"/>
        </w:tabs>
        <w:snapToGrid w:val="0"/>
        <w:spacing w:line="400" w:lineRule="exact"/>
        <w:ind w:firstLine="420" w:firstLineChars="200"/>
        <w:jc w:val="left"/>
        <w:rPr>
          <w:szCs w:val="21"/>
        </w:rPr>
      </w:pPr>
      <w:r>
        <w:rPr>
          <w:rFonts w:hint="eastAsia"/>
          <w:szCs w:val="21"/>
        </w:rPr>
        <w:t>（5）投标截止时间前8个月内</w:t>
      </w:r>
      <w:r>
        <w:rPr>
          <w:szCs w:val="21"/>
        </w:rPr>
        <w:t>，</w:t>
      </w:r>
      <w:r>
        <w:rPr>
          <w:rFonts w:hint="eastAsia"/>
        </w:rPr>
        <w:t>供应商</w:t>
      </w:r>
      <w:r>
        <w:t>任意</w:t>
      </w:r>
      <w:r>
        <w:rPr>
          <w:rFonts w:hint="eastAsia"/>
        </w:rPr>
        <w:t>1个月</w:t>
      </w:r>
      <w:r>
        <w:rPr>
          <w:szCs w:val="21"/>
        </w:rPr>
        <w:t>的社保缴费证明记录复印件</w:t>
      </w:r>
      <w:r>
        <w:rPr>
          <w:rFonts w:hint="eastAsia"/>
          <w:szCs w:val="21"/>
        </w:rPr>
        <w:t>，</w:t>
      </w:r>
      <w:r>
        <w:rPr>
          <w:szCs w:val="21"/>
        </w:rPr>
        <w:t>依法不需要缴纳社会保障资金的供应商，须提供相应文件证明其不需要缴纳社会保障资金。</w:t>
      </w:r>
      <w:r>
        <w:rPr>
          <w:rFonts w:hint="eastAsia" w:ascii="宋体" w:hAnsi="宋体" w:cs="宋体"/>
          <w:szCs w:val="21"/>
        </w:rPr>
        <w:t>（</w:t>
      </w:r>
      <w:r>
        <w:rPr>
          <w:rFonts w:hint="eastAsia" w:ascii="宋体" w:hAnsi="宋体" w:cs="宋体"/>
          <w:b/>
          <w:bCs/>
          <w:szCs w:val="21"/>
        </w:rPr>
        <w:t>必须提供</w:t>
      </w:r>
      <w:r>
        <w:rPr>
          <w:rFonts w:hint="eastAsia" w:ascii="宋体" w:hAnsi="宋体" w:cs="宋体"/>
          <w:szCs w:val="21"/>
        </w:rPr>
        <w:t>）；</w:t>
      </w:r>
    </w:p>
    <w:p w14:paraId="3858C769">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（6）投标人有效主体资格证明（如营业执照、事业单位法人证书、执业许可证、自然人身份证等）（</w:t>
      </w:r>
      <w:r>
        <w:rPr>
          <w:rFonts w:hint="eastAsia" w:ascii="宋体" w:hAnsi="宋体" w:cs="宋体"/>
          <w:b/>
          <w:bCs/>
          <w:szCs w:val="21"/>
        </w:rPr>
        <w:t>必须提供</w:t>
      </w:r>
      <w:r>
        <w:rPr>
          <w:rFonts w:hint="eastAsia" w:ascii="宋体" w:hAnsi="宋体" w:cs="宋体"/>
          <w:szCs w:val="21"/>
        </w:rPr>
        <w:t>）；</w:t>
      </w:r>
    </w:p>
    <w:p w14:paraId="40E6E5A1">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（7）</w:t>
      </w:r>
      <w:r>
        <w:rPr>
          <w:rFonts w:ascii="宋体" w:hAnsi="宋体" w:cs="宋体"/>
          <w:szCs w:val="21"/>
        </w:rPr>
        <w:t>供应商直接控股、管理关系信息表</w:t>
      </w:r>
      <w:r>
        <w:rPr>
          <w:rFonts w:hint="eastAsia" w:ascii="宋体" w:hAnsi="宋体" w:cs="宋体"/>
          <w:b/>
          <w:bCs/>
          <w:szCs w:val="21"/>
        </w:rPr>
        <w:t>（必须提供）</w:t>
      </w:r>
    </w:p>
    <w:p w14:paraId="75042D33">
      <w:pPr>
        <w:tabs>
          <w:tab w:val="left" w:pos="3870"/>
          <w:tab w:val="left" w:pos="4085"/>
        </w:tabs>
        <w:snapToGrid w:val="0"/>
        <w:spacing w:line="420" w:lineRule="exact"/>
        <w:ind w:firstLine="422" w:firstLineChars="200"/>
        <w:jc w:val="left"/>
        <w:rPr>
          <w:rFonts w:ascii="Arial" w:hAnsi="Arial" w:cs="Arial"/>
          <w:b/>
          <w:bCs/>
          <w:szCs w:val="21"/>
        </w:rPr>
      </w:pPr>
      <w:r>
        <w:rPr>
          <w:rFonts w:hint="eastAsia" w:ascii="Arial" w:hAnsi="Arial" w:cs="Arial"/>
          <w:b/>
          <w:bCs/>
          <w:szCs w:val="21"/>
        </w:rPr>
        <w:t>（8）本项目供应商要求为小微企业，必须提供以下证明材料之一：</w:t>
      </w:r>
    </w:p>
    <w:p w14:paraId="3C46E3F4">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①中小企业声明函（格式见第六章）；</w:t>
      </w:r>
    </w:p>
    <w:p w14:paraId="06A3ED2C">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②残疾人福利性单位声明函（格式见第六章）；</w:t>
      </w:r>
    </w:p>
    <w:p w14:paraId="59CE692E">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③监狱企业由省级以上监狱管理局、戒毒管理局（含新疆生产建设兵团）出具的属于监狱企业的证明文件（货物由监狱企业承接的必须提供）。</w:t>
      </w:r>
    </w:p>
    <w:p w14:paraId="5EA5EC64">
      <w:pPr>
        <w:tabs>
          <w:tab w:val="left" w:pos="3870"/>
          <w:tab w:val="left" w:pos="4085"/>
        </w:tabs>
        <w:snapToGrid w:val="0"/>
        <w:spacing w:line="420" w:lineRule="exact"/>
        <w:ind w:firstLine="420" w:firstLineChars="200"/>
        <w:jc w:val="left"/>
      </w:pPr>
      <w:r>
        <w:rPr>
          <w:rFonts w:hint="eastAsia" w:ascii="宋体" w:hAnsi="宋体" w:cs="宋体"/>
          <w:szCs w:val="21"/>
        </w:rPr>
        <w:t>（9）投标保证金缴纳凭证复印件</w:t>
      </w:r>
      <w:r>
        <w:rPr>
          <w:rFonts w:hint="eastAsia" w:ascii="宋体" w:hAnsi="宋体" w:cs="宋体"/>
          <w:b/>
          <w:bCs/>
          <w:szCs w:val="21"/>
        </w:rPr>
        <w:t>（必须提供）</w:t>
      </w:r>
    </w:p>
    <w:p w14:paraId="1E6A9AA3">
      <w:pPr>
        <w:snapToGrid w:val="0"/>
        <w:spacing w:line="400" w:lineRule="exact"/>
        <w:ind w:firstLine="420"/>
        <w:jc w:val="left"/>
        <w:rPr>
          <w:rFonts w:hint="eastAsia" w:ascii="宋体" w:hAnsi="宋体" w:cs="宋体"/>
          <w:b/>
          <w:bCs/>
          <w:szCs w:val="21"/>
        </w:rPr>
      </w:pPr>
      <w:r>
        <w:rPr>
          <w:rFonts w:hint="eastAsia" w:ascii="宋体" w:hAnsi="宋体" w:cs="宋体"/>
          <w:b/>
          <w:bCs/>
          <w:szCs w:val="21"/>
        </w:rPr>
        <w:t>13.1.2报价文件</w:t>
      </w:r>
    </w:p>
    <w:p w14:paraId="7ABB1EAD">
      <w:pPr>
        <w:snapToGrid w:val="0"/>
        <w:spacing w:line="400" w:lineRule="exact"/>
        <w:ind w:firstLine="420"/>
        <w:jc w:val="left"/>
        <w:rPr>
          <w:rFonts w:hint="eastAsia" w:ascii="宋体" w:hAnsi="宋体" w:cs="宋体"/>
          <w:szCs w:val="21"/>
        </w:rPr>
      </w:pPr>
      <w:r>
        <w:rPr>
          <w:rFonts w:hint="eastAsia" w:ascii="宋体" w:hAnsi="宋体" w:cs="宋体"/>
          <w:b/>
          <w:bCs/>
          <w:szCs w:val="21"/>
        </w:rPr>
        <w:t>注：以下各项必须提供并加盖投标人CA电子签章、按照第六章格式要求签字，否则其投标无效。</w:t>
      </w:r>
    </w:p>
    <w:p w14:paraId="7794CD47">
      <w:pPr>
        <w:snapToGrid w:val="0"/>
        <w:spacing w:line="400" w:lineRule="exact"/>
        <w:ind w:firstLine="420"/>
        <w:jc w:val="left"/>
        <w:rPr>
          <w:rFonts w:hint="eastAsia" w:ascii="宋体" w:hAnsi="宋体" w:cs="宋体"/>
          <w:szCs w:val="21"/>
        </w:rPr>
      </w:pPr>
      <w:r>
        <w:rPr>
          <w:rFonts w:hint="eastAsia" w:ascii="宋体" w:hAnsi="宋体" w:cs="宋体"/>
          <w:szCs w:val="21"/>
        </w:rPr>
        <w:t>（1）开标一览表（</w:t>
      </w:r>
      <w:r>
        <w:rPr>
          <w:rFonts w:hint="eastAsia" w:ascii="宋体" w:hAnsi="宋体" w:cs="宋体"/>
          <w:b/>
          <w:bCs/>
          <w:szCs w:val="21"/>
        </w:rPr>
        <w:t>必须提供</w:t>
      </w:r>
      <w:r>
        <w:rPr>
          <w:rFonts w:hint="eastAsia" w:ascii="宋体" w:hAnsi="宋体" w:cs="宋体"/>
          <w:szCs w:val="21"/>
        </w:rPr>
        <w:t>，格式见第六章）；</w:t>
      </w:r>
    </w:p>
    <w:p w14:paraId="22941581">
      <w:pPr>
        <w:snapToGrid w:val="0"/>
        <w:spacing w:line="400" w:lineRule="exact"/>
        <w:ind w:firstLine="420"/>
        <w:jc w:val="left"/>
        <w:rPr>
          <w:rFonts w:hint="eastAsia" w:ascii="宋体" w:hAnsi="宋体" w:cs="宋体"/>
          <w:szCs w:val="21"/>
        </w:rPr>
      </w:pPr>
      <w:r>
        <w:rPr>
          <w:rFonts w:hint="eastAsia" w:ascii="宋体" w:hAnsi="宋体" w:cs="宋体"/>
          <w:szCs w:val="21"/>
        </w:rPr>
        <w:t>（2）投标报价明细表（</w:t>
      </w:r>
      <w:r>
        <w:rPr>
          <w:rFonts w:hint="eastAsia" w:ascii="宋体" w:hAnsi="宋体" w:cs="宋体"/>
          <w:b/>
          <w:bCs/>
          <w:szCs w:val="21"/>
        </w:rPr>
        <w:t>必须提供，</w:t>
      </w:r>
      <w:r>
        <w:rPr>
          <w:rFonts w:hint="eastAsia" w:ascii="宋体" w:hAnsi="宋体" w:cs="宋体"/>
          <w:szCs w:val="21"/>
        </w:rPr>
        <w:t>格式见第六章）；</w:t>
      </w:r>
    </w:p>
    <w:bookmarkEnd w:id="37"/>
    <w:bookmarkEnd w:id="38"/>
    <w:p w14:paraId="2609C151">
      <w:pPr>
        <w:snapToGrid w:val="0"/>
        <w:spacing w:line="400" w:lineRule="exact"/>
        <w:ind w:firstLine="413" w:firstLineChars="196"/>
        <w:jc w:val="left"/>
        <w:rPr>
          <w:rFonts w:hint="eastAsia" w:ascii="宋体" w:hAnsi="宋体" w:cs="宋体"/>
          <w:b/>
          <w:szCs w:val="21"/>
        </w:rPr>
      </w:pPr>
      <w:r>
        <w:rPr>
          <w:rFonts w:hint="eastAsia" w:ascii="宋体" w:hAnsi="宋体" w:cs="宋体"/>
          <w:b/>
          <w:szCs w:val="21"/>
        </w:rPr>
        <w:t>13.1.3商务技术文件</w:t>
      </w:r>
    </w:p>
    <w:p w14:paraId="5F4A16E4">
      <w:pPr>
        <w:snapToGrid w:val="0"/>
        <w:spacing w:line="400" w:lineRule="exact"/>
        <w:ind w:firstLine="422" w:firstLineChars="200"/>
        <w:jc w:val="left"/>
        <w:rPr>
          <w:rFonts w:hint="eastAsia" w:ascii="宋体" w:hAnsi="宋体" w:cs="宋体"/>
          <w:szCs w:val="21"/>
        </w:rPr>
      </w:pPr>
      <w:r>
        <w:rPr>
          <w:rFonts w:hint="eastAsia" w:ascii="宋体" w:hAnsi="宋体" w:cs="宋体"/>
          <w:b/>
          <w:bCs/>
          <w:szCs w:val="21"/>
        </w:rPr>
        <w:t>注：以下第（1）至第（3）项必须提供并加盖投标人CA电子签章、并按照第六章格式要求签字，否则投标无效。其余各项如有请提供，同时要加盖投标人CA电子签章，否则该材料被视为无效。</w:t>
      </w:r>
    </w:p>
    <w:p w14:paraId="385D1A32">
      <w:pPr>
        <w:snapToGrid w:val="0"/>
        <w:spacing w:line="400" w:lineRule="exact"/>
        <w:ind w:left="420"/>
        <w:jc w:val="left"/>
        <w:rPr>
          <w:rFonts w:hint="eastAsia" w:ascii="宋体" w:hAnsi="宋体" w:cs="宋体"/>
          <w:szCs w:val="21"/>
        </w:rPr>
      </w:pPr>
      <w:r>
        <w:rPr>
          <w:rFonts w:hint="eastAsia" w:ascii="宋体" w:hAnsi="宋体" w:cs="宋体"/>
          <w:szCs w:val="21"/>
        </w:rPr>
        <w:t>（1）投标函（</w:t>
      </w:r>
      <w:r>
        <w:rPr>
          <w:rFonts w:hint="eastAsia" w:ascii="宋体" w:hAnsi="宋体" w:cs="宋体"/>
          <w:b/>
          <w:bCs/>
          <w:szCs w:val="21"/>
        </w:rPr>
        <w:t>必须提供，</w:t>
      </w:r>
      <w:r>
        <w:rPr>
          <w:rFonts w:hint="eastAsia" w:ascii="宋体" w:hAnsi="宋体" w:cs="宋体"/>
          <w:szCs w:val="21"/>
        </w:rPr>
        <w:t>格式见第六章）；</w:t>
      </w:r>
    </w:p>
    <w:p w14:paraId="66C2C32F">
      <w:pPr>
        <w:snapToGrid w:val="0"/>
        <w:spacing w:line="400" w:lineRule="exact"/>
        <w:ind w:firstLine="420"/>
        <w:jc w:val="left"/>
        <w:rPr>
          <w:rFonts w:hint="eastAsia" w:ascii="宋体" w:hAnsi="宋体" w:cs="宋体"/>
          <w:szCs w:val="21"/>
        </w:rPr>
      </w:pPr>
      <w:r>
        <w:rPr>
          <w:rFonts w:hint="eastAsia" w:ascii="宋体" w:hAnsi="宋体" w:cs="宋体"/>
          <w:szCs w:val="21"/>
        </w:rPr>
        <w:t>（2）技术响应表（</w:t>
      </w:r>
      <w:r>
        <w:rPr>
          <w:rFonts w:hint="eastAsia" w:ascii="宋体" w:hAnsi="宋体" w:cs="宋体"/>
          <w:b/>
          <w:bCs/>
          <w:szCs w:val="21"/>
        </w:rPr>
        <w:t>必须提供，</w:t>
      </w:r>
      <w:r>
        <w:rPr>
          <w:rFonts w:hint="eastAsia" w:ascii="宋体" w:hAnsi="宋体" w:cs="宋体"/>
          <w:szCs w:val="21"/>
        </w:rPr>
        <w:t>格式见第六章）；</w:t>
      </w:r>
    </w:p>
    <w:p w14:paraId="58C6C5CD">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（3）商务响应表（</w:t>
      </w:r>
      <w:r>
        <w:rPr>
          <w:rFonts w:hint="eastAsia" w:ascii="宋体" w:hAnsi="宋体" w:cs="宋体"/>
          <w:b/>
          <w:bCs/>
          <w:szCs w:val="21"/>
        </w:rPr>
        <w:t>必须提供，</w:t>
      </w:r>
      <w:r>
        <w:rPr>
          <w:rFonts w:hint="eastAsia" w:ascii="宋体" w:hAnsi="宋体" w:cs="宋体"/>
          <w:szCs w:val="21"/>
        </w:rPr>
        <w:t>格式见第六章）；</w:t>
      </w:r>
    </w:p>
    <w:p w14:paraId="5C9F409B">
      <w:pPr>
        <w:snapToGrid w:val="0"/>
        <w:spacing w:line="400" w:lineRule="atLeast"/>
        <w:ind w:firstLine="413" w:firstLineChars="197"/>
        <w:jc w:val="left"/>
        <w:rPr>
          <w:rFonts w:hint="eastAsia" w:ascii="宋体" w:hAnsi="宋体" w:cs="宋体"/>
          <w:szCs w:val="21"/>
        </w:rPr>
      </w:pPr>
      <w:r>
        <w:rPr>
          <w:rFonts w:hint="eastAsia" w:ascii="宋体" w:hAnsi="宋体" w:cs="宋体"/>
          <w:szCs w:val="21"/>
        </w:rPr>
        <w:t>（4）项目实施方案（如有，格式见第六章）；</w:t>
      </w:r>
    </w:p>
    <w:p w14:paraId="647E732B">
      <w:pPr>
        <w:snapToGrid w:val="0"/>
        <w:spacing w:line="400" w:lineRule="atLeast"/>
        <w:ind w:firstLine="413" w:firstLineChars="197"/>
        <w:jc w:val="left"/>
        <w:rPr>
          <w:rFonts w:hint="eastAsia" w:ascii="宋体" w:hAnsi="宋体" w:cs="宋体"/>
          <w:szCs w:val="21"/>
        </w:rPr>
      </w:pPr>
      <w:r>
        <w:rPr>
          <w:rFonts w:hint="eastAsia" w:ascii="宋体" w:hAnsi="宋体" w:cs="宋体"/>
          <w:szCs w:val="21"/>
        </w:rPr>
        <w:t>（5）技术培训方案（如有，格式见第六章）；</w:t>
      </w:r>
    </w:p>
    <w:p w14:paraId="621511EF">
      <w:pPr>
        <w:snapToGrid w:val="0"/>
        <w:spacing w:line="400" w:lineRule="atLeast"/>
        <w:ind w:firstLine="413" w:firstLineChars="197"/>
        <w:jc w:val="left"/>
        <w:rPr>
          <w:rFonts w:hint="eastAsia" w:ascii="宋体" w:hAnsi="宋体" w:cs="宋体"/>
          <w:szCs w:val="21"/>
        </w:rPr>
      </w:pPr>
      <w:r>
        <w:rPr>
          <w:rFonts w:hint="eastAsia" w:ascii="宋体" w:hAnsi="宋体" w:cs="宋体"/>
          <w:szCs w:val="21"/>
        </w:rPr>
        <w:t>（6）售后服务方案及承诺书（如有，格式见第六章）；</w:t>
      </w:r>
    </w:p>
    <w:p w14:paraId="5D5DEB71">
      <w:pPr>
        <w:snapToGrid w:val="0"/>
        <w:spacing w:line="400" w:lineRule="exact"/>
        <w:ind w:firstLine="420"/>
        <w:jc w:val="left"/>
        <w:rPr>
          <w:rFonts w:hint="eastAsia" w:ascii="宋体" w:hAnsi="宋体" w:cs="宋体"/>
          <w:szCs w:val="21"/>
        </w:rPr>
      </w:pPr>
      <w:r>
        <w:rPr>
          <w:rFonts w:hint="eastAsia" w:ascii="宋体" w:hAnsi="宋体" w:cs="宋体"/>
          <w:szCs w:val="21"/>
        </w:rPr>
        <w:t>（7）投标人同类项目经验一览表</w:t>
      </w:r>
      <w:r>
        <w:rPr>
          <w:rFonts w:hint="eastAsia" w:ascii="宋体" w:hAnsi="宋体" w:cs="宋体"/>
          <w:bCs/>
          <w:szCs w:val="21"/>
        </w:rPr>
        <w:t>（如有，格式见第六章）</w:t>
      </w:r>
      <w:r>
        <w:rPr>
          <w:rFonts w:hint="eastAsia" w:ascii="宋体" w:hAnsi="宋体" w:cs="宋体"/>
          <w:szCs w:val="21"/>
        </w:rPr>
        <w:t>；</w:t>
      </w:r>
    </w:p>
    <w:p w14:paraId="771E4449">
      <w:pPr>
        <w:snapToGrid w:val="0"/>
        <w:spacing w:line="400" w:lineRule="exact"/>
        <w:ind w:firstLine="420"/>
        <w:jc w:val="left"/>
        <w:rPr>
          <w:rFonts w:hint="eastAsia" w:ascii="宋体" w:hAnsi="宋体" w:cs="宋体"/>
          <w:szCs w:val="21"/>
        </w:rPr>
      </w:pPr>
      <w:r>
        <w:rPr>
          <w:rFonts w:hint="eastAsia" w:ascii="宋体" w:hAnsi="宋体" w:cs="宋体"/>
          <w:szCs w:val="21"/>
        </w:rPr>
        <w:t>（8）拟投入服务团队人员一览表</w:t>
      </w:r>
      <w:r>
        <w:rPr>
          <w:rFonts w:hint="eastAsia" w:ascii="宋体" w:hAnsi="宋体" w:cs="宋体"/>
          <w:bCs/>
          <w:szCs w:val="21"/>
        </w:rPr>
        <w:t>（如有，格式见第六章）</w:t>
      </w:r>
      <w:r>
        <w:rPr>
          <w:rFonts w:hint="eastAsia" w:ascii="宋体" w:hAnsi="宋体" w:cs="宋体"/>
          <w:szCs w:val="21"/>
        </w:rPr>
        <w:t>；</w:t>
      </w:r>
    </w:p>
    <w:p w14:paraId="5F2E967C">
      <w:pPr>
        <w:snapToGrid w:val="0"/>
        <w:spacing w:line="400" w:lineRule="exact"/>
        <w:ind w:firstLine="420"/>
        <w:jc w:val="left"/>
        <w:rPr>
          <w:rFonts w:hint="eastAsia" w:ascii="宋体" w:hAnsi="宋体" w:cs="宋体"/>
          <w:szCs w:val="21"/>
        </w:rPr>
      </w:pPr>
      <w:r>
        <w:rPr>
          <w:rFonts w:hint="eastAsia" w:ascii="宋体" w:hAnsi="宋体" w:cs="宋体"/>
          <w:szCs w:val="21"/>
        </w:rPr>
        <w:t>（9）有效的管理体系认证证书（如有）；</w:t>
      </w:r>
    </w:p>
    <w:p w14:paraId="194FF787">
      <w:pPr>
        <w:snapToGrid w:val="0"/>
        <w:spacing w:line="400" w:lineRule="atLeast"/>
        <w:ind w:firstLine="420"/>
        <w:jc w:val="left"/>
        <w:rPr>
          <w:rFonts w:hint="eastAsia" w:ascii="宋体" w:hAnsi="宋体" w:cs="宋体"/>
          <w:szCs w:val="21"/>
        </w:rPr>
      </w:pPr>
      <w:r>
        <w:rPr>
          <w:rFonts w:hint="eastAsia" w:ascii="宋体" w:hAnsi="宋体" w:cs="宋体"/>
          <w:szCs w:val="21"/>
        </w:rPr>
        <w:t>（10）</w:t>
      </w:r>
      <w:r>
        <w:rPr>
          <w:rFonts w:hint="eastAsia" w:ascii="宋体" w:hAnsi="宋体" w:cs="宋体"/>
          <w:bCs/>
          <w:szCs w:val="21"/>
        </w:rPr>
        <w:t>投标产品为非政府强制采购节能产品，由国家确定的认证机构出具的、处于有效期之内的节能产品认证证书（如有）；</w:t>
      </w:r>
    </w:p>
    <w:p w14:paraId="2BD7BFC6">
      <w:pPr>
        <w:snapToGrid w:val="0"/>
        <w:spacing w:line="400" w:lineRule="exact"/>
        <w:ind w:firstLine="413" w:firstLineChars="197"/>
        <w:jc w:val="left"/>
        <w:rPr>
          <w:rFonts w:hint="eastAsia" w:ascii="宋体" w:hAnsi="宋体" w:cs="宋体"/>
          <w:szCs w:val="21"/>
        </w:rPr>
      </w:pPr>
      <w:r>
        <w:rPr>
          <w:rFonts w:hint="eastAsia" w:ascii="宋体" w:hAnsi="宋体" w:cs="宋体"/>
          <w:szCs w:val="21"/>
        </w:rPr>
        <w:t>（11）投标人认为必要提供的声明及文件资料或招标文件第二章采购需求中要求提供的相关证明材料（如有）。</w:t>
      </w:r>
    </w:p>
    <w:p w14:paraId="0EE4DE95">
      <w:pPr>
        <w:snapToGrid w:val="0"/>
        <w:spacing w:line="400" w:lineRule="exact"/>
        <w:ind w:firstLine="369" w:firstLineChars="175"/>
        <w:jc w:val="left"/>
        <w:rPr>
          <w:rFonts w:hint="eastAsia" w:ascii="宋体" w:hAnsi="宋体" w:cs="宋体"/>
          <w:b/>
          <w:szCs w:val="21"/>
        </w:rPr>
      </w:pPr>
      <w:r>
        <w:rPr>
          <w:rFonts w:hint="eastAsia" w:ascii="宋体" w:hAnsi="宋体" w:cs="宋体"/>
          <w:b/>
          <w:szCs w:val="21"/>
        </w:rPr>
        <w:t>14.投标文件的语言及计量</w:t>
      </w:r>
    </w:p>
    <w:p w14:paraId="7D3BB0D3">
      <w:pPr>
        <w:snapToGrid w:val="0"/>
        <w:spacing w:line="400" w:lineRule="exact"/>
        <w:ind w:firstLine="420"/>
        <w:jc w:val="left"/>
        <w:rPr>
          <w:rFonts w:hint="eastAsia" w:ascii="宋体" w:hAnsi="宋体" w:cs="宋体"/>
          <w:szCs w:val="21"/>
        </w:rPr>
      </w:pPr>
      <w:r>
        <w:rPr>
          <w:rFonts w:hint="eastAsia" w:ascii="宋体" w:hAnsi="宋体" w:cs="宋体"/>
          <w:szCs w:val="21"/>
        </w:rPr>
        <w:t>14.1投标文件以及投标人与采购代理机构就有关投标事宜的所有来往函电，均应以中文汉语书写。除签字、盖章、专用名称等特殊情形外，以中文汉语以外的文字表述的投标文件视同未提供。</w:t>
      </w:r>
    </w:p>
    <w:p w14:paraId="75FB7F6B">
      <w:pPr>
        <w:snapToGrid w:val="0"/>
        <w:spacing w:line="400" w:lineRule="exact"/>
        <w:ind w:firstLine="420"/>
        <w:jc w:val="left"/>
        <w:rPr>
          <w:rFonts w:hint="eastAsia" w:ascii="宋体" w:hAnsi="宋体" w:cs="宋体"/>
          <w:szCs w:val="21"/>
        </w:rPr>
      </w:pPr>
      <w:r>
        <w:rPr>
          <w:rFonts w:hint="eastAsia" w:ascii="宋体" w:hAnsi="宋体" w:cs="宋体"/>
          <w:szCs w:val="21"/>
        </w:rPr>
        <w:t>14.2投标计量单位，招标文件已有明确规定的，使用招标文件规定的计量单位；招标文件没有规定的，应采用中华人民共和国法定计量单位，否则视同未响应。</w:t>
      </w:r>
    </w:p>
    <w:p w14:paraId="4C5413F2">
      <w:pPr>
        <w:snapToGrid w:val="0"/>
        <w:spacing w:line="400" w:lineRule="exact"/>
        <w:ind w:firstLine="369" w:firstLineChars="175"/>
        <w:jc w:val="left"/>
        <w:rPr>
          <w:rFonts w:hint="eastAsia" w:ascii="宋体" w:hAnsi="宋体" w:cs="宋体"/>
          <w:b/>
          <w:szCs w:val="21"/>
        </w:rPr>
      </w:pPr>
      <w:bookmarkStart w:id="51" w:name="_Toc254970538"/>
      <w:bookmarkStart w:id="52" w:name="_Toc254970679"/>
      <w:r>
        <w:rPr>
          <w:rFonts w:hint="eastAsia" w:ascii="宋体" w:hAnsi="宋体" w:cs="宋体"/>
          <w:b/>
          <w:szCs w:val="21"/>
        </w:rPr>
        <w:t>15.投标报价</w:t>
      </w:r>
      <w:bookmarkEnd w:id="51"/>
      <w:bookmarkEnd w:id="52"/>
    </w:p>
    <w:p w14:paraId="508E104B">
      <w:pPr>
        <w:snapToGrid w:val="0"/>
        <w:spacing w:line="400" w:lineRule="exact"/>
        <w:ind w:firstLine="420"/>
        <w:jc w:val="left"/>
        <w:rPr>
          <w:rFonts w:hint="eastAsia" w:ascii="宋体" w:hAnsi="宋体" w:cs="宋体"/>
          <w:szCs w:val="21"/>
        </w:rPr>
      </w:pPr>
      <w:r>
        <w:rPr>
          <w:rFonts w:hint="eastAsia" w:ascii="宋体" w:hAnsi="宋体" w:cs="宋体"/>
          <w:szCs w:val="21"/>
        </w:rPr>
        <w:t>15.1投标报价应按招标文件中相关附表格式填写。</w:t>
      </w:r>
    </w:p>
    <w:p w14:paraId="7513DDDE">
      <w:pPr>
        <w:snapToGrid w:val="0"/>
        <w:spacing w:line="360" w:lineRule="exact"/>
        <w:ind w:right="-330" w:rightChars="-157" w:firstLine="420"/>
        <w:jc w:val="left"/>
        <w:rPr>
          <w:rFonts w:hint="eastAsia" w:ascii="宋体" w:hAnsi="宋体" w:cs="宋体"/>
          <w:szCs w:val="21"/>
        </w:rPr>
      </w:pPr>
      <w:r>
        <w:rPr>
          <w:rFonts w:hint="eastAsia" w:ascii="宋体" w:hAnsi="宋体" w:cs="宋体"/>
          <w:szCs w:val="21"/>
        </w:rPr>
        <w:t>15.2投标报价是履行合同的最终价格，应包括</w:t>
      </w:r>
      <w:r>
        <w:rPr>
          <w:rFonts w:hint="eastAsia" w:ascii="宋体" w:hAnsi="宋体" w:cs="宋体"/>
          <w:bCs/>
          <w:szCs w:val="21"/>
        </w:rPr>
        <w:t>货物及货物运抵指定交付地点的所有成本、各种费用的总和</w:t>
      </w:r>
      <w:r>
        <w:rPr>
          <w:rFonts w:hint="eastAsia" w:ascii="宋体" w:hAnsi="宋体" w:cs="宋体"/>
          <w:szCs w:val="21"/>
        </w:rPr>
        <w:t>。</w:t>
      </w:r>
    </w:p>
    <w:p w14:paraId="16337893">
      <w:pPr>
        <w:snapToGrid w:val="0"/>
        <w:spacing w:line="400" w:lineRule="exact"/>
        <w:ind w:firstLine="420"/>
        <w:jc w:val="left"/>
        <w:rPr>
          <w:rFonts w:hint="eastAsia" w:ascii="宋体" w:hAnsi="宋体" w:cs="宋体"/>
          <w:szCs w:val="21"/>
        </w:rPr>
      </w:pPr>
      <w:r>
        <w:rPr>
          <w:rFonts w:hint="eastAsia" w:ascii="宋体" w:hAnsi="宋体" w:cs="宋体"/>
          <w:szCs w:val="21"/>
        </w:rPr>
        <w:t>15.3投标文件只允许有一个总报价，有选择的或有条件的报价将不予接受。</w:t>
      </w:r>
    </w:p>
    <w:p w14:paraId="4FA55AAC">
      <w:pPr>
        <w:snapToGrid w:val="0"/>
        <w:spacing w:line="400" w:lineRule="exact"/>
        <w:ind w:firstLine="369" w:firstLineChars="175"/>
        <w:jc w:val="left"/>
        <w:rPr>
          <w:rFonts w:hint="eastAsia" w:ascii="宋体" w:hAnsi="宋体" w:cs="宋体"/>
          <w:b/>
          <w:szCs w:val="21"/>
        </w:rPr>
      </w:pPr>
      <w:r>
        <w:rPr>
          <w:rFonts w:hint="eastAsia" w:ascii="宋体" w:hAnsi="宋体" w:cs="宋体"/>
          <w:b/>
          <w:szCs w:val="21"/>
        </w:rPr>
        <w:t>16.投标文件的有效期</w:t>
      </w:r>
    </w:p>
    <w:p w14:paraId="159445F7">
      <w:pPr>
        <w:snapToGrid w:val="0"/>
        <w:spacing w:line="400" w:lineRule="exact"/>
        <w:ind w:firstLine="420"/>
        <w:jc w:val="left"/>
        <w:rPr>
          <w:rFonts w:hint="eastAsia" w:ascii="宋体" w:hAnsi="宋体" w:cs="宋体"/>
          <w:szCs w:val="21"/>
        </w:rPr>
      </w:pPr>
      <w:r>
        <w:rPr>
          <w:rFonts w:hint="eastAsia" w:ascii="宋体" w:hAnsi="宋体" w:cs="宋体"/>
          <w:szCs w:val="21"/>
        </w:rPr>
        <w:t>16.1 投标截止日期后90天，投标文件应保持有效。有效期不足的投标文件将被拒绝。</w:t>
      </w:r>
    </w:p>
    <w:p w14:paraId="744CC129">
      <w:pPr>
        <w:snapToGrid w:val="0"/>
        <w:spacing w:line="400" w:lineRule="exact"/>
        <w:ind w:firstLine="420"/>
        <w:jc w:val="left"/>
        <w:rPr>
          <w:rFonts w:hint="eastAsia" w:ascii="宋体" w:hAnsi="宋体" w:cs="宋体"/>
          <w:szCs w:val="21"/>
        </w:rPr>
      </w:pPr>
      <w:r>
        <w:rPr>
          <w:rFonts w:hint="eastAsia" w:ascii="宋体" w:hAnsi="宋体" w:cs="宋体"/>
          <w:szCs w:val="21"/>
        </w:rPr>
        <w:t>16.2在特殊情况下，采购人可与投标人协商延长投标书的有效期，这种要求和答复均以书面形式进行。</w:t>
      </w:r>
    </w:p>
    <w:p w14:paraId="3F9B3715">
      <w:pPr>
        <w:snapToGrid w:val="0"/>
        <w:spacing w:line="400" w:lineRule="exact"/>
        <w:ind w:firstLine="420"/>
        <w:jc w:val="left"/>
        <w:rPr>
          <w:rFonts w:hint="eastAsia" w:ascii="宋体" w:hAnsi="宋体" w:cs="宋体"/>
          <w:szCs w:val="21"/>
        </w:rPr>
      </w:pPr>
      <w:r>
        <w:rPr>
          <w:rFonts w:hint="eastAsia" w:ascii="宋体" w:hAnsi="宋体" w:cs="宋体"/>
          <w:szCs w:val="21"/>
        </w:rPr>
        <w:t xml:space="preserve">16.3投标人可拒绝接受延长有效期要求，同意延长有效期的投标人不能修改投标文件其它内容。 </w:t>
      </w:r>
    </w:p>
    <w:p w14:paraId="409CFDC4">
      <w:pPr>
        <w:snapToGrid w:val="0"/>
        <w:spacing w:line="400" w:lineRule="exact"/>
        <w:ind w:firstLine="420"/>
        <w:jc w:val="left"/>
        <w:rPr>
          <w:rFonts w:hint="eastAsia" w:ascii="宋体" w:hAnsi="宋体" w:cs="宋体"/>
          <w:szCs w:val="21"/>
        </w:rPr>
      </w:pPr>
      <w:r>
        <w:rPr>
          <w:rFonts w:hint="eastAsia" w:ascii="宋体" w:hAnsi="宋体" w:cs="宋体"/>
          <w:szCs w:val="21"/>
        </w:rPr>
        <w:t>16.4中标人的投标文件自递交投标文件截止之日起至合同履行完毕止均应保持有效。</w:t>
      </w:r>
    </w:p>
    <w:p w14:paraId="61C01993">
      <w:pPr>
        <w:spacing w:line="400" w:lineRule="exact"/>
        <w:ind w:firstLine="413" w:firstLineChars="196"/>
        <w:rPr>
          <w:rFonts w:hint="eastAsia" w:ascii="宋体" w:hAnsi="宋体" w:cs="宋体"/>
          <w:b/>
          <w:szCs w:val="21"/>
        </w:rPr>
      </w:pPr>
      <w:bookmarkStart w:id="53" w:name="_Toc254970682"/>
      <w:bookmarkStart w:id="54" w:name="_Toc254970541"/>
      <w:r>
        <w:rPr>
          <w:rFonts w:hint="eastAsia" w:ascii="宋体" w:hAnsi="宋体" w:cs="宋体"/>
          <w:b/>
          <w:szCs w:val="21"/>
        </w:rPr>
        <w:t>17.投标保证金</w:t>
      </w:r>
      <w:bookmarkEnd w:id="53"/>
      <w:bookmarkEnd w:id="54"/>
    </w:p>
    <w:p w14:paraId="21A20049">
      <w:pPr>
        <w:snapToGrid w:val="0"/>
        <w:spacing w:line="400" w:lineRule="exact"/>
        <w:ind w:firstLine="420"/>
        <w:jc w:val="left"/>
        <w:rPr>
          <w:rFonts w:hint="eastAsia" w:ascii="宋体" w:hAnsi="宋体" w:cs="宋体"/>
          <w:szCs w:val="21"/>
        </w:rPr>
      </w:pPr>
      <w:bookmarkStart w:id="55" w:name="_Toc254970542"/>
      <w:bookmarkStart w:id="56" w:name="_Toc254970683"/>
      <w:r>
        <w:rPr>
          <w:rFonts w:hint="eastAsia" w:ascii="宋体" w:hAnsi="宋体" w:cs="宋体"/>
          <w:szCs w:val="21"/>
        </w:rPr>
        <w:t>17.1详见招标公告。未中标单位的投标保证金于中标公告发布之日四个工作日内退回，中标单位保证金于合同公告发布之日起四个工作日内退回。</w:t>
      </w:r>
    </w:p>
    <w:p w14:paraId="5EF1A8DD">
      <w:pPr>
        <w:snapToGrid w:val="0"/>
        <w:spacing w:line="400" w:lineRule="exact"/>
        <w:ind w:firstLine="369" w:firstLineChars="175"/>
        <w:jc w:val="left"/>
        <w:rPr>
          <w:rFonts w:hint="eastAsia" w:ascii="宋体" w:hAnsi="宋体" w:cs="宋体"/>
          <w:b/>
          <w:szCs w:val="21"/>
        </w:rPr>
      </w:pPr>
      <w:r>
        <w:rPr>
          <w:rFonts w:hint="eastAsia" w:ascii="宋体" w:hAnsi="宋体" w:cs="宋体"/>
          <w:b/>
          <w:szCs w:val="21"/>
        </w:rPr>
        <w:t>18.电子投标文件的</w:t>
      </w:r>
      <w:bookmarkEnd w:id="55"/>
      <w:bookmarkEnd w:id="56"/>
      <w:r>
        <w:rPr>
          <w:rFonts w:hint="eastAsia" w:ascii="宋体" w:hAnsi="宋体" w:cs="宋体"/>
          <w:b/>
          <w:szCs w:val="21"/>
        </w:rPr>
        <w:t>编制、加密要求</w:t>
      </w:r>
    </w:p>
    <w:p w14:paraId="77E816E6">
      <w:pPr>
        <w:spacing w:line="360" w:lineRule="auto"/>
        <w:ind w:firstLine="420" w:firstLineChars="200"/>
        <w:rPr>
          <w:rFonts w:hint="eastAsia" w:ascii="宋体" w:hAnsi="宋体" w:cs="宋体"/>
          <w:szCs w:val="21"/>
        </w:rPr>
      </w:pPr>
      <w:r>
        <w:rPr>
          <w:rFonts w:hint="eastAsia" w:ascii="宋体" w:hAnsi="宋体" w:cs="宋体"/>
          <w:szCs w:val="21"/>
        </w:rPr>
        <w:t>18.1投标人应按本招标文件规定的格式、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p>
    <w:p w14:paraId="1DC375FC">
      <w:pPr>
        <w:spacing w:line="360" w:lineRule="auto"/>
        <w:ind w:firstLine="422" w:firstLineChars="200"/>
        <w:rPr>
          <w:rFonts w:hint="eastAsia" w:ascii="宋体" w:hAnsi="宋体" w:cs="宋体"/>
          <w:b/>
          <w:bCs/>
          <w:szCs w:val="21"/>
        </w:rPr>
      </w:pPr>
      <w:r>
        <w:rPr>
          <w:rFonts w:hint="eastAsia" w:ascii="宋体" w:hAnsi="宋体" w:cs="宋体"/>
          <w:b/>
          <w:bCs/>
          <w:szCs w:val="21"/>
        </w:rPr>
        <w:t>18.2公开招标文件中规定须由投标人在规定处盖章的，投标人应加盖CA电子签章，否则视为投标无效。</w:t>
      </w:r>
    </w:p>
    <w:p w14:paraId="6E9204E8">
      <w:pPr>
        <w:spacing w:line="360" w:lineRule="auto"/>
        <w:ind w:firstLine="422" w:firstLineChars="200"/>
        <w:rPr>
          <w:rFonts w:hint="eastAsia" w:ascii="宋体" w:hAnsi="宋体" w:cs="宋体"/>
          <w:b/>
          <w:szCs w:val="21"/>
        </w:rPr>
      </w:pPr>
      <w:r>
        <w:rPr>
          <w:rFonts w:hint="eastAsia" w:ascii="宋体" w:hAnsi="宋体" w:cs="宋体"/>
          <w:b/>
          <w:bCs/>
          <w:szCs w:val="21"/>
        </w:rPr>
        <w:t>18.3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宋体" w:hAnsi="宋体" w:cs="宋体"/>
          <w:b/>
          <w:szCs w:val="21"/>
        </w:rPr>
        <w:t>否则视为投标无效。</w:t>
      </w:r>
    </w:p>
    <w:p w14:paraId="72D3399B">
      <w:pPr>
        <w:spacing w:line="360" w:lineRule="auto"/>
        <w:ind w:firstLine="420" w:firstLineChars="200"/>
        <w:rPr>
          <w:rFonts w:hint="eastAsia" w:ascii="宋体" w:hAnsi="宋体" w:cs="宋体"/>
          <w:szCs w:val="21"/>
        </w:rPr>
      </w:pPr>
      <w:r>
        <w:rPr>
          <w:rFonts w:hint="eastAsia" w:ascii="宋体" w:hAnsi="宋体" w:cs="宋体"/>
          <w:szCs w:val="21"/>
        </w:rPr>
        <w:t>18.4电子投标文件不得涂改，若有修改错漏处，须加盖投标人CA电子签章或者法定代表人或授权委托代理人签字。扫描不清晰或乱码或表达不清所引起的后果由投标人负责。</w:t>
      </w:r>
    </w:p>
    <w:p w14:paraId="2C55DCEE">
      <w:pPr>
        <w:snapToGrid w:val="0"/>
        <w:spacing w:line="420" w:lineRule="exact"/>
        <w:ind w:firstLine="420" w:firstLineChars="200"/>
        <w:jc w:val="left"/>
        <w:rPr>
          <w:rFonts w:hint="eastAsia" w:ascii="宋体" w:hAnsi="宋体" w:cs="宋体"/>
          <w:szCs w:val="21"/>
        </w:rPr>
      </w:pPr>
      <w:r>
        <w:rPr>
          <w:rFonts w:hint="eastAsia" w:ascii="宋体" w:hAnsi="宋体" w:cs="宋体"/>
          <w:szCs w:val="21"/>
        </w:rPr>
        <w:t>18.5电子投标文件所提供的相关材料的尺寸和清晰度应该能够在电脑上被阅读、识别和判断。</w:t>
      </w:r>
    </w:p>
    <w:p w14:paraId="75096668">
      <w:pPr>
        <w:snapToGrid w:val="0"/>
        <w:spacing w:line="420" w:lineRule="exact"/>
        <w:ind w:firstLine="420" w:firstLineChars="200"/>
        <w:jc w:val="left"/>
        <w:rPr>
          <w:rFonts w:hint="eastAsia" w:ascii="宋体" w:hAnsi="宋体" w:cs="宋体"/>
          <w:szCs w:val="21"/>
        </w:rPr>
      </w:pPr>
      <w:r>
        <w:rPr>
          <w:rFonts w:hint="eastAsia" w:ascii="宋体" w:hAnsi="宋体" w:cs="宋体"/>
          <w:szCs w:val="21"/>
        </w:rPr>
        <w:t>18.6电子投标文件内容无法阅读、识别和判断的，视为未提供。</w:t>
      </w:r>
    </w:p>
    <w:p w14:paraId="04AA9CB8">
      <w:pPr>
        <w:snapToGrid w:val="0"/>
        <w:spacing w:line="440" w:lineRule="exact"/>
        <w:ind w:firstLine="420" w:firstLineChars="200"/>
        <w:jc w:val="left"/>
        <w:rPr>
          <w:rFonts w:hint="eastAsia" w:ascii="宋体" w:hAnsi="宋体" w:cs="宋体"/>
          <w:szCs w:val="21"/>
        </w:rPr>
      </w:pPr>
      <w:r>
        <w:rPr>
          <w:rFonts w:hint="eastAsia" w:ascii="宋体" w:hAnsi="宋体" w:cs="宋体"/>
          <w:szCs w:val="21"/>
        </w:rPr>
        <w:t>18.7电子投标文件的容量大小须符合广西政府采购云电子投标客户端规定。</w:t>
      </w:r>
    </w:p>
    <w:p w14:paraId="204AF8EA">
      <w:pPr>
        <w:snapToGrid w:val="0"/>
        <w:spacing w:line="440" w:lineRule="exact"/>
        <w:ind w:firstLine="422" w:firstLineChars="200"/>
        <w:jc w:val="left"/>
        <w:rPr>
          <w:rFonts w:hint="eastAsia" w:ascii="宋体" w:hAnsi="宋体" w:cs="宋体"/>
          <w:b/>
          <w:bCs/>
          <w:szCs w:val="21"/>
        </w:rPr>
      </w:pPr>
      <w:r>
        <w:rPr>
          <w:rFonts w:hint="eastAsia" w:ascii="宋体" w:hAnsi="宋体" w:cs="宋体"/>
          <w:b/>
          <w:bCs/>
          <w:szCs w:val="21"/>
        </w:rPr>
        <w:t>18.8电子投标文件的加密要求</w:t>
      </w:r>
    </w:p>
    <w:p w14:paraId="773BFA14">
      <w:pPr>
        <w:snapToGrid w:val="0"/>
        <w:spacing w:line="420" w:lineRule="exact"/>
        <w:ind w:firstLine="420" w:firstLineChars="200"/>
        <w:jc w:val="left"/>
        <w:rPr>
          <w:rFonts w:hint="eastAsia" w:ascii="宋体" w:hAnsi="宋体" w:cs="宋体"/>
          <w:szCs w:val="21"/>
        </w:rPr>
      </w:pPr>
      <w:r>
        <w:rPr>
          <w:rFonts w:hint="eastAsia" w:ascii="宋体" w:hAnsi="宋体" w:cs="宋体"/>
          <w:szCs w:val="21"/>
        </w:rPr>
        <w:t>电子投标文件应按广西政府采购云电子投标客户端软件有关规定加密，否则广西政府采购云平台将拒收，由此造成的风险由投标人承担。</w:t>
      </w:r>
    </w:p>
    <w:p w14:paraId="52F5BFA2">
      <w:pPr>
        <w:snapToGrid w:val="0"/>
        <w:spacing w:line="400" w:lineRule="exact"/>
        <w:ind w:firstLine="369" w:firstLineChars="175"/>
        <w:jc w:val="left"/>
        <w:rPr>
          <w:rFonts w:hint="eastAsia" w:ascii="宋体" w:hAnsi="宋体" w:cs="宋体"/>
          <w:b/>
          <w:szCs w:val="21"/>
        </w:rPr>
      </w:pPr>
      <w:r>
        <w:rPr>
          <w:rFonts w:hint="eastAsia" w:ascii="宋体" w:hAnsi="宋体" w:cs="宋体"/>
          <w:b/>
          <w:szCs w:val="21"/>
        </w:rPr>
        <w:t>19.电子投标文件的提交、修改、撤回和解密</w:t>
      </w:r>
    </w:p>
    <w:p w14:paraId="38C5991F">
      <w:pPr>
        <w:tabs>
          <w:tab w:val="left" w:pos="3870"/>
          <w:tab w:val="left" w:pos="4085"/>
        </w:tabs>
        <w:snapToGrid w:val="0"/>
        <w:spacing w:line="420" w:lineRule="exact"/>
        <w:ind w:firstLine="420" w:firstLineChars="200"/>
        <w:jc w:val="left"/>
        <w:rPr>
          <w:rFonts w:hint="eastAsia" w:ascii="宋体" w:hAnsi="宋体" w:cs="宋体"/>
          <w:szCs w:val="21"/>
        </w:rPr>
      </w:pPr>
      <w:bookmarkStart w:id="57" w:name="_Toc254970684"/>
      <w:bookmarkStart w:id="58" w:name="_Toc254970543"/>
      <w:r>
        <w:rPr>
          <w:rFonts w:hint="eastAsia" w:ascii="宋体" w:hAnsi="宋体" w:cs="宋体"/>
          <w:szCs w:val="21"/>
        </w:rPr>
        <w:t>19.1本项目实行“网上投标、电子评标”，投标人应于提交投标文件截止时间前在广西政府采购云平台上提交已经加密的电子投标文件。</w:t>
      </w:r>
    </w:p>
    <w:p w14:paraId="0F9009FD">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19.2未按规定上传的电子投标文件将被广西政府采购云平台拒收，由此造成电子投标文件解密失败或被误投的风险由投标人自行承担。</w:t>
      </w:r>
    </w:p>
    <w:p w14:paraId="23DBEC94">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470FB00C">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19.4</w:t>
      </w:r>
      <w:r>
        <w:rPr>
          <w:rFonts w:hint="eastAsia" w:ascii="宋体" w:hAnsi="宋体" w:cs="宋体"/>
          <w:b/>
          <w:bCs/>
          <w:szCs w:val="21"/>
        </w:rPr>
        <w:t>电子投标文件成功提交后，投标人可自行打印投标文件接收回执。</w:t>
      </w:r>
    </w:p>
    <w:p w14:paraId="3FE1A4BC">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19.5截标后，广西政府采购云电子交易平台自动提取所有投标人的电子投标文件，采购代理机构向各投标人发出解密通知，投标人须在采购代理机构开启解密标书后30分钟内对上传广西政府采购云平台的投标文件进行解密。</w:t>
      </w:r>
    </w:p>
    <w:p w14:paraId="4E799B1C">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非广西政府采购云技术原因造成的投标人超过解密时限未完成解密的，或投标文件无法解密或解密失败，视为投标人放弃投标，投标无效。</w:t>
      </w:r>
    </w:p>
    <w:p w14:paraId="2A4060B5">
      <w:pPr>
        <w:snapToGrid w:val="0"/>
        <w:spacing w:line="400" w:lineRule="exact"/>
        <w:ind w:firstLine="310" w:firstLineChars="147"/>
        <w:jc w:val="left"/>
        <w:rPr>
          <w:rFonts w:hint="eastAsia" w:ascii="宋体" w:hAnsi="宋体" w:cs="宋体"/>
          <w:b/>
          <w:szCs w:val="21"/>
        </w:rPr>
      </w:pPr>
      <w:r>
        <w:rPr>
          <w:rFonts w:hint="eastAsia" w:ascii="宋体" w:hAnsi="宋体" w:cs="宋体"/>
          <w:b/>
          <w:szCs w:val="21"/>
        </w:rPr>
        <w:t>20.投标无效的情形</w:t>
      </w:r>
      <w:bookmarkEnd w:id="57"/>
      <w:bookmarkEnd w:id="58"/>
    </w:p>
    <w:p w14:paraId="02CAC9F0">
      <w:pPr>
        <w:snapToGrid w:val="0"/>
        <w:spacing w:line="400" w:lineRule="exact"/>
        <w:ind w:firstLine="420"/>
        <w:jc w:val="left"/>
        <w:rPr>
          <w:rFonts w:hint="eastAsia" w:ascii="宋体" w:hAnsi="宋体" w:cs="宋体"/>
          <w:szCs w:val="21"/>
        </w:rPr>
      </w:pPr>
      <w:r>
        <w:rPr>
          <w:rFonts w:hint="eastAsia" w:ascii="宋体" w:hAnsi="宋体" w:cs="宋体"/>
          <w:szCs w:val="21"/>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38B1A8EC">
      <w:pPr>
        <w:snapToGrid w:val="0"/>
        <w:spacing w:line="400" w:lineRule="exact"/>
        <w:ind w:firstLine="413" w:firstLineChars="196"/>
        <w:rPr>
          <w:rFonts w:hint="eastAsia" w:ascii="宋体" w:hAnsi="宋体" w:cs="宋体"/>
          <w:b/>
          <w:bCs/>
          <w:szCs w:val="21"/>
        </w:rPr>
      </w:pPr>
      <w:r>
        <w:rPr>
          <w:rFonts w:hint="eastAsia" w:ascii="宋体" w:hAnsi="宋体" w:cs="宋体"/>
          <w:b/>
          <w:szCs w:val="21"/>
        </w:rPr>
        <w:t>20.1.1投标人存在下列情况之一的，投标无效：</w:t>
      </w:r>
    </w:p>
    <w:p w14:paraId="12AA2A13">
      <w:pPr>
        <w:snapToGrid w:val="0"/>
        <w:spacing w:line="400" w:lineRule="exact"/>
        <w:ind w:firstLine="420"/>
        <w:jc w:val="left"/>
        <w:rPr>
          <w:rFonts w:hint="eastAsia" w:ascii="宋体" w:hAnsi="宋体" w:cs="宋体"/>
          <w:szCs w:val="21"/>
        </w:rPr>
      </w:pPr>
      <w:r>
        <w:rPr>
          <w:rFonts w:hint="eastAsia" w:ascii="宋体" w:hAnsi="宋体" w:cs="宋体"/>
          <w:szCs w:val="21"/>
        </w:rPr>
        <w:t>（1）投标文件未按招标文件要求签署、盖章的；</w:t>
      </w:r>
    </w:p>
    <w:p w14:paraId="251CD832">
      <w:pPr>
        <w:snapToGrid w:val="0"/>
        <w:spacing w:line="400" w:lineRule="exact"/>
        <w:ind w:firstLine="420"/>
        <w:jc w:val="left"/>
        <w:rPr>
          <w:rFonts w:hint="eastAsia" w:ascii="宋体" w:hAnsi="宋体" w:cs="宋体"/>
          <w:szCs w:val="21"/>
        </w:rPr>
      </w:pPr>
      <w:r>
        <w:rPr>
          <w:rFonts w:hint="eastAsia" w:ascii="宋体" w:hAnsi="宋体" w:cs="宋体"/>
          <w:szCs w:val="21"/>
        </w:rPr>
        <w:t>（2）不具备招标文件中规定的资格要求的；</w:t>
      </w:r>
    </w:p>
    <w:p w14:paraId="5E9EBFF8">
      <w:pPr>
        <w:snapToGrid w:val="0"/>
        <w:spacing w:line="400" w:lineRule="exact"/>
        <w:ind w:firstLine="420"/>
        <w:jc w:val="left"/>
        <w:rPr>
          <w:rFonts w:hint="eastAsia" w:ascii="宋体" w:hAnsi="宋体" w:cs="宋体"/>
          <w:szCs w:val="21"/>
        </w:rPr>
      </w:pPr>
      <w:r>
        <w:rPr>
          <w:rFonts w:hint="eastAsia" w:ascii="宋体" w:hAnsi="宋体" w:cs="宋体"/>
          <w:szCs w:val="21"/>
        </w:rPr>
        <w:t>（3）报价超过招标文件中规定的预算金额或者最高限价的；</w:t>
      </w:r>
    </w:p>
    <w:p w14:paraId="0B3763B7">
      <w:pPr>
        <w:snapToGrid w:val="0"/>
        <w:spacing w:line="400" w:lineRule="exact"/>
        <w:ind w:firstLine="420"/>
        <w:jc w:val="left"/>
        <w:rPr>
          <w:rFonts w:hint="eastAsia" w:ascii="宋体" w:hAnsi="宋体" w:cs="宋体"/>
          <w:szCs w:val="21"/>
        </w:rPr>
      </w:pPr>
      <w:r>
        <w:rPr>
          <w:rFonts w:hint="eastAsia" w:ascii="宋体" w:hAnsi="宋体" w:cs="宋体"/>
          <w:szCs w:val="21"/>
        </w:rPr>
        <w:t>（4）投标文件含有采购人不能接受的附加条件的；</w:t>
      </w:r>
    </w:p>
    <w:p w14:paraId="66F9160E">
      <w:pPr>
        <w:snapToGrid w:val="0"/>
        <w:spacing w:line="400" w:lineRule="exact"/>
        <w:ind w:firstLine="420"/>
        <w:jc w:val="left"/>
        <w:rPr>
          <w:rFonts w:hint="eastAsia" w:ascii="宋体" w:hAnsi="宋体" w:cs="宋体"/>
          <w:b/>
          <w:bCs/>
          <w:szCs w:val="21"/>
        </w:rPr>
      </w:pPr>
      <w:r>
        <w:rPr>
          <w:rFonts w:hint="eastAsia" w:ascii="宋体" w:hAnsi="宋体" w:cs="宋体"/>
          <w:b/>
          <w:bCs/>
          <w:szCs w:val="21"/>
        </w:rPr>
        <w:t>（5）投标人在线制作电子投标文件时填写的报价金额与解密后“电子加密投标文件”中《开标一览表》填写的金额不一致并拒绝按公开招标文件要求接受调整的；</w:t>
      </w:r>
    </w:p>
    <w:p w14:paraId="7CD00839">
      <w:pPr>
        <w:snapToGrid w:val="0"/>
        <w:spacing w:line="400" w:lineRule="exact"/>
        <w:ind w:firstLine="420"/>
        <w:jc w:val="left"/>
        <w:rPr>
          <w:rFonts w:hint="eastAsia" w:ascii="宋体" w:hAnsi="宋体" w:cs="宋体"/>
          <w:szCs w:val="21"/>
        </w:rPr>
      </w:pPr>
      <w:r>
        <w:rPr>
          <w:rFonts w:hint="eastAsia" w:ascii="宋体" w:hAnsi="宋体" w:cs="宋体"/>
          <w:szCs w:val="21"/>
        </w:rPr>
        <w:t>（6）法律、法规和招标文件规定的其他无效情形。</w:t>
      </w:r>
    </w:p>
    <w:p w14:paraId="53D87D8C">
      <w:pPr>
        <w:snapToGrid w:val="0"/>
        <w:spacing w:line="400" w:lineRule="exact"/>
        <w:ind w:firstLine="413" w:firstLineChars="196"/>
        <w:rPr>
          <w:rFonts w:hint="eastAsia" w:ascii="宋体" w:hAnsi="宋体" w:cs="宋体"/>
          <w:b/>
          <w:szCs w:val="21"/>
        </w:rPr>
      </w:pPr>
      <w:r>
        <w:rPr>
          <w:rFonts w:hint="eastAsia" w:ascii="宋体" w:hAnsi="宋体" w:cs="宋体"/>
          <w:b/>
          <w:szCs w:val="21"/>
        </w:rPr>
        <w:t>20.1.2在资格性审查时，如发现下列情形之一的，投标文件将被视为无效：</w:t>
      </w:r>
    </w:p>
    <w:p w14:paraId="33555407">
      <w:pPr>
        <w:snapToGrid w:val="0"/>
        <w:spacing w:line="400" w:lineRule="exact"/>
        <w:ind w:firstLine="420"/>
        <w:jc w:val="left"/>
        <w:rPr>
          <w:rFonts w:hint="eastAsia" w:ascii="宋体" w:hAnsi="宋体" w:cs="宋体"/>
          <w:szCs w:val="21"/>
        </w:rPr>
      </w:pPr>
      <w:r>
        <w:rPr>
          <w:rFonts w:hint="eastAsia" w:ascii="宋体" w:hAnsi="宋体" w:cs="宋体"/>
          <w:szCs w:val="21"/>
        </w:rPr>
        <w:t>（1）资格响应文件不全的，或者不符合招标文件标明的资格要求的；</w:t>
      </w:r>
    </w:p>
    <w:p w14:paraId="6B856728">
      <w:pPr>
        <w:snapToGrid w:val="0"/>
        <w:spacing w:line="400" w:lineRule="exact"/>
        <w:ind w:firstLine="420"/>
        <w:jc w:val="left"/>
        <w:rPr>
          <w:rFonts w:hint="eastAsia" w:ascii="宋体" w:hAnsi="宋体" w:cs="宋体"/>
          <w:szCs w:val="21"/>
        </w:rPr>
      </w:pPr>
      <w:r>
        <w:rPr>
          <w:rFonts w:hint="eastAsia" w:ascii="宋体" w:hAnsi="宋体" w:cs="宋体"/>
          <w:szCs w:val="21"/>
        </w:rPr>
        <w:t>（2）无法定代表人或其授权委托代理人签字，或未提供法定代表人授权委托书或者填写项目不齐全的；</w:t>
      </w:r>
    </w:p>
    <w:p w14:paraId="77D368D5">
      <w:pPr>
        <w:snapToGrid w:val="0"/>
        <w:spacing w:line="400" w:lineRule="exact"/>
        <w:ind w:firstLine="420"/>
        <w:jc w:val="left"/>
        <w:rPr>
          <w:rFonts w:hint="eastAsia" w:ascii="宋体" w:hAnsi="宋体" w:cs="宋体"/>
          <w:szCs w:val="21"/>
        </w:rPr>
      </w:pPr>
      <w:r>
        <w:rPr>
          <w:rFonts w:hint="eastAsia" w:ascii="宋体" w:hAnsi="宋体" w:cs="宋体"/>
          <w:szCs w:val="21"/>
        </w:rPr>
        <w:t>（3）委托代理人与法定代表人授权委托书中的代理人不符的。</w:t>
      </w:r>
    </w:p>
    <w:p w14:paraId="0469A499">
      <w:pPr>
        <w:snapToGrid w:val="0"/>
        <w:spacing w:line="400" w:lineRule="exact"/>
        <w:ind w:firstLine="413" w:firstLineChars="196"/>
        <w:rPr>
          <w:rFonts w:hint="eastAsia" w:ascii="宋体" w:hAnsi="宋体" w:cs="宋体"/>
          <w:b/>
          <w:bCs/>
          <w:kern w:val="0"/>
          <w:szCs w:val="21"/>
        </w:rPr>
      </w:pPr>
      <w:r>
        <w:rPr>
          <w:rFonts w:hint="eastAsia" w:ascii="宋体" w:hAnsi="宋体" w:cs="宋体"/>
          <w:b/>
          <w:bCs/>
          <w:kern w:val="0"/>
          <w:szCs w:val="21"/>
        </w:rPr>
        <w:t>20.1.3在符合性评审时，如发现下列情形之一的，投标文件将被视为无效：</w:t>
      </w:r>
    </w:p>
    <w:p w14:paraId="63DC46BD">
      <w:pPr>
        <w:snapToGrid w:val="0"/>
        <w:spacing w:line="400" w:lineRule="exact"/>
        <w:ind w:firstLine="420"/>
        <w:jc w:val="left"/>
        <w:rPr>
          <w:rFonts w:hint="eastAsia" w:ascii="宋体" w:hAnsi="宋体" w:cs="宋体"/>
          <w:szCs w:val="21"/>
        </w:rPr>
      </w:pPr>
      <w:r>
        <w:rPr>
          <w:rFonts w:hint="eastAsia" w:ascii="宋体" w:hAnsi="宋体" w:cs="宋体"/>
          <w:szCs w:val="21"/>
        </w:rPr>
        <w:t>（1）投标有效期、服务期限、付款方式等商务条款不能满足招标文件要求的；</w:t>
      </w:r>
    </w:p>
    <w:p w14:paraId="1492B39A">
      <w:pPr>
        <w:snapToGrid w:val="0"/>
        <w:spacing w:line="400" w:lineRule="exact"/>
        <w:ind w:firstLine="420"/>
        <w:jc w:val="left"/>
        <w:rPr>
          <w:rFonts w:hint="eastAsia" w:ascii="宋体" w:hAnsi="宋体" w:cs="宋体"/>
          <w:szCs w:val="21"/>
        </w:rPr>
      </w:pPr>
      <w:r>
        <w:rPr>
          <w:rFonts w:hint="eastAsia" w:ascii="宋体" w:hAnsi="宋体" w:cs="宋体"/>
          <w:szCs w:val="21"/>
        </w:rPr>
        <w:t>（2）投标人就采购需求中标记 “▲”符号的实质性响应内容发生负偏离一项（含）以上的；</w:t>
      </w:r>
    </w:p>
    <w:p w14:paraId="5B00E6D9">
      <w:pPr>
        <w:snapToGrid w:val="0"/>
        <w:spacing w:line="400" w:lineRule="exact"/>
        <w:ind w:firstLine="420"/>
        <w:jc w:val="left"/>
        <w:rPr>
          <w:rFonts w:hint="eastAsia" w:ascii="宋体" w:hAnsi="宋体" w:cs="宋体"/>
          <w:szCs w:val="21"/>
        </w:rPr>
      </w:pPr>
      <w:r>
        <w:rPr>
          <w:rFonts w:hint="eastAsia" w:ascii="宋体" w:hAnsi="宋体" w:cs="宋体"/>
          <w:szCs w:val="21"/>
        </w:rPr>
        <w:t>（3）投标技术方案不明确，存在一个或一个以上备选（替代）投标方案的；</w:t>
      </w:r>
    </w:p>
    <w:p w14:paraId="4CA4ECBF">
      <w:pPr>
        <w:snapToGrid w:val="0"/>
        <w:spacing w:line="400" w:lineRule="exact"/>
        <w:ind w:firstLine="420"/>
        <w:jc w:val="left"/>
        <w:rPr>
          <w:rFonts w:hint="eastAsia" w:ascii="宋体" w:hAnsi="宋体" w:cs="宋体"/>
          <w:szCs w:val="21"/>
        </w:rPr>
      </w:pPr>
      <w:r>
        <w:rPr>
          <w:rFonts w:hint="eastAsia" w:ascii="宋体" w:hAnsi="宋体" w:cs="宋体"/>
          <w:szCs w:val="21"/>
        </w:rPr>
        <w:t>（4）未采用人民币报价或者未按照招标文件标明的币种报价的；</w:t>
      </w:r>
    </w:p>
    <w:p w14:paraId="6E1B3406">
      <w:pPr>
        <w:snapToGrid w:val="0"/>
        <w:spacing w:line="400" w:lineRule="exact"/>
        <w:ind w:firstLine="420"/>
        <w:jc w:val="left"/>
        <w:rPr>
          <w:rFonts w:hint="eastAsia" w:ascii="宋体" w:hAnsi="宋体" w:cs="宋体"/>
          <w:szCs w:val="21"/>
        </w:rPr>
      </w:pPr>
      <w:r>
        <w:rPr>
          <w:rFonts w:hint="eastAsia" w:ascii="宋体" w:hAnsi="宋体" w:cs="宋体"/>
          <w:szCs w:val="21"/>
        </w:rPr>
        <w:t>（5）报价超出最高限价，或者超出采购预算金额的；</w:t>
      </w:r>
    </w:p>
    <w:p w14:paraId="24A7C5D0">
      <w:pPr>
        <w:snapToGrid w:val="0"/>
        <w:spacing w:line="400" w:lineRule="exact"/>
        <w:ind w:firstLine="420"/>
        <w:jc w:val="left"/>
        <w:rPr>
          <w:rFonts w:hint="eastAsia" w:ascii="宋体" w:hAnsi="宋体" w:cs="宋体"/>
          <w:szCs w:val="21"/>
        </w:rPr>
      </w:pPr>
      <w:r>
        <w:rPr>
          <w:rFonts w:hint="eastAsia" w:ascii="宋体" w:hAnsi="宋体" w:cs="宋体"/>
          <w:szCs w:val="21"/>
        </w:rPr>
        <w:t>（6）投标报价具有选择性，或者开标价格与投标文件承诺的优惠（折扣）价格不一致的；</w:t>
      </w:r>
      <w:r>
        <w:rPr>
          <w:rFonts w:hint="eastAsia" w:ascii="宋体" w:hAnsi="宋体" w:cs="宋体"/>
          <w:szCs w:val="21"/>
        </w:rPr>
        <w:tab/>
      </w:r>
    </w:p>
    <w:p w14:paraId="535C8B50">
      <w:pPr>
        <w:snapToGrid w:val="0"/>
        <w:spacing w:line="400" w:lineRule="exact"/>
        <w:ind w:firstLine="420"/>
        <w:jc w:val="left"/>
        <w:rPr>
          <w:rFonts w:hint="eastAsia" w:ascii="宋体" w:hAnsi="宋体" w:cs="宋体"/>
          <w:szCs w:val="21"/>
        </w:rPr>
      </w:pPr>
      <w:r>
        <w:rPr>
          <w:rFonts w:hint="eastAsia" w:ascii="宋体" w:hAnsi="宋体" w:cs="宋体"/>
          <w:szCs w:val="21"/>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2059523B">
      <w:pPr>
        <w:snapToGrid w:val="0"/>
        <w:spacing w:line="400" w:lineRule="exact"/>
        <w:ind w:firstLine="413" w:firstLineChars="196"/>
        <w:rPr>
          <w:rFonts w:hint="eastAsia" w:ascii="宋体" w:hAnsi="宋体" w:cs="宋体"/>
          <w:b/>
          <w:szCs w:val="21"/>
        </w:rPr>
      </w:pPr>
      <w:r>
        <w:rPr>
          <w:rFonts w:hint="eastAsia" w:ascii="宋体" w:hAnsi="宋体" w:cs="宋体"/>
          <w:b/>
          <w:szCs w:val="21"/>
        </w:rPr>
        <w:t>20.1.4在评审时有下列情形之一的视为投标人相互串通投标，投标文件将被视为无效：</w:t>
      </w:r>
    </w:p>
    <w:p w14:paraId="1DB476EE">
      <w:pPr>
        <w:snapToGrid w:val="0"/>
        <w:spacing w:line="400" w:lineRule="exact"/>
        <w:ind w:firstLine="420"/>
        <w:jc w:val="left"/>
        <w:rPr>
          <w:rFonts w:hint="eastAsia" w:ascii="宋体" w:hAnsi="宋体" w:cs="宋体"/>
          <w:szCs w:val="21"/>
        </w:rPr>
      </w:pPr>
      <w:r>
        <w:rPr>
          <w:rFonts w:hint="eastAsia" w:ascii="宋体" w:hAnsi="宋体" w:cs="宋体"/>
          <w:szCs w:val="21"/>
        </w:rPr>
        <w:t>（1）不同投标人的投标文件由同一单位或者个人编制；或不同投标人报名（获取文件）的IP地址一致的；</w:t>
      </w:r>
    </w:p>
    <w:p w14:paraId="2F43459B">
      <w:pPr>
        <w:snapToGrid w:val="0"/>
        <w:spacing w:line="400" w:lineRule="exact"/>
        <w:ind w:firstLine="420"/>
        <w:jc w:val="left"/>
        <w:rPr>
          <w:rFonts w:hint="eastAsia" w:ascii="宋体" w:hAnsi="宋体" w:cs="宋体"/>
          <w:szCs w:val="21"/>
        </w:rPr>
      </w:pPr>
      <w:r>
        <w:rPr>
          <w:rFonts w:hint="eastAsia" w:ascii="宋体" w:hAnsi="宋体" w:cs="宋体"/>
          <w:szCs w:val="21"/>
        </w:rPr>
        <w:t>（2）不同投标人委托同一单位或者个人办理投标事宜；</w:t>
      </w:r>
    </w:p>
    <w:p w14:paraId="42D2072D">
      <w:pPr>
        <w:snapToGrid w:val="0"/>
        <w:spacing w:line="400" w:lineRule="exact"/>
        <w:ind w:firstLine="420"/>
        <w:jc w:val="left"/>
        <w:rPr>
          <w:rFonts w:hint="eastAsia" w:ascii="宋体" w:hAnsi="宋体" w:cs="宋体"/>
          <w:szCs w:val="21"/>
        </w:rPr>
      </w:pPr>
      <w:r>
        <w:rPr>
          <w:rFonts w:hint="eastAsia" w:ascii="宋体" w:hAnsi="宋体" w:cs="宋体"/>
          <w:szCs w:val="21"/>
        </w:rPr>
        <w:t>（3）不同的投标人的投标文件载明的项目管理成员或者联系人员为同一个人；</w:t>
      </w:r>
    </w:p>
    <w:p w14:paraId="0E6A2836">
      <w:pPr>
        <w:snapToGrid w:val="0"/>
        <w:spacing w:line="400" w:lineRule="exact"/>
        <w:ind w:firstLine="420"/>
        <w:jc w:val="left"/>
        <w:rPr>
          <w:rFonts w:hint="eastAsia" w:ascii="宋体" w:hAnsi="宋体" w:cs="宋体"/>
          <w:szCs w:val="21"/>
        </w:rPr>
      </w:pPr>
      <w:r>
        <w:rPr>
          <w:rFonts w:hint="eastAsia" w:ascii="宋体" w:hAnsi="宋体" w:cs="宋体"/>
          <w:szCs w:val="21"/>
        </w:rPr>
        <w:t>（4）不同投标人的投标文件异常一致或投标报价呈规律性差异；</w:t>
      </w:r>
    </w:p>
    <w:p w14:paraId="19955172">
      <w:pPr>
        <w:snapToGrid w:val="0"/>
        <w:spacing w:line="400" w:lineRule="exact"/>
        <w:ind w:firstLine="420"/>
        <w:jc w:val="left"/>
        <w:rPr>
          <w:rFonts w:hint="eastAsia" w:ascii="宋体" w:hAnsi="宋体" w:cs="宋体"/>
          <w:szCs w:val="21"/>
        </w:rPr>
      </w:pPr>
      <w:r>
        <w:rPr>
          <w:rFonts w:hint="eastAsia" w:ascii="宋体" w:hAnsi="宋体" w:cs="宋体"/>
          <w:szCs w:val="21"/>
        </w:rPr>
        <w:t>（5）不同投标人的投标文件相互混装。</w:t>
      </w:r>
    </w:p>
    <w:p w14:paraId="1062543D">
      <w:pPr>
        <w:snapToGrid w:val="0"/>
        <w:spacing w:line="400" w:lineRule="exact"/>
        <w:ind w:firstLine="413" w:firstLineChars="196"/>
        <w:rPr>
          <w:rFonts w:hint="eastAsia" w:ascii="宋体" w:hAnsi="宋体" w:cs="宋体"/>
          <w:b/>
          <w:szCs w:val="21"/>
        </w:rPr>
      </w:pPr>
      <w:r>
        <w:rPr>
          <w:rFonts w:hint="eastAsia" w:ascii="宋体" w:hAnsi="宋体" w:cs="宋体"/>
          <w:b/>
          <w:szCs w:val="21"/>
        </w:rPr>
        <w:t>20.1.5被拒绝的投标文件为无效。</w:t>
      </w:r>
    </w:p>
    <w:p w14:paraId="27466920">
      <w:pPr>
        <w:spacing w:line="460" w:lineRule="exact"/>
        <w:ind w:firstLine="422" w:firstLineChars="200"/>
        <w:rPr>
          <w:rFonts w:hint="eastAsia" w:ascii="宋体" w:hAnsi="宋体" w:cs="宋体"/>
          <w:b/>
          <w:szCs w:val="21"/>
        </w:rPr>
      </w:pPr>
      <w:r>
        <w:rPr>
          <w:rFonts w:hint="eastAsia" w:ascii="宋体" w:hAnsi="宋体" w:cs="宋体"/>
          <w:b/>
          <w:szCs w:val="21"/>
        </w:rPr>
        <w:t>20.2特别说明</w:t>
      </w:r>
    </w:p>
    <w:p w14:paraId="533BB69B">
      <w:pPr>
        <w:spacing w:line="460" w:lineRule="exact"/>
        <w:ind w:firstLine="630" w:firstLineChars="300"/>
        <w:rPr>
          <w:rFonts w:hint="eastAsia" w:ascii="宋体" w:hAnsi="宋体" w:cs="宋体"/>
          <w:bCs/>
          <w:szCs w:val="21"/>
        </w:rPr>
      </w:pPr>
      <w:r>
        <w:rPr>
          <w:rFonts w:hint="eastAsia" w:ascii="宋体" w:hAnsi="宋体" w:cs="宋体"/>
          <w:bCs/>
          <w:szCs w:val="21"/>
        </w:rPr>
        <w:t>20.2.1政采云公司如对电子化开评标程序有调整的，按调整后的程序操作。</w:t>
      </w:r>
    </w:p>
    <w:p w14:paraId="34D94B2D">
      <w:pPr>
        <w:spacing w:line="460" w:lineRule="exact"/>
        <w:ind w:firstLine="630" w:firstLineChars="300"/>
        <w:rPr>
          <w:rFonts w:hint="eastAsia" w:ascii="宋体" w:hAnsi="宋体" w:cs="宋体"/>
          <w:bCs/>
          <w:szCs w:val="21"/>
        </w:rPr>
      </w:pPr>
      <w:r>
        <w:rPr>
          <w:rFonts w:hint="eastAsia" w:ascii="宋体" w:hAnsi="宋体" w:cs="宋体"/>
          <w:bCs/>
          <w:szCs w:val="21"/>
        </w:rPr>
        <w:t>20.2.2评审在严格保密的情况下进行，任何一方不得透露与评审有关的其他投标人的技术资料、价格和其他信息。</w:t>
      </w:r>
    </w:p>
    <w:p w14:paraId="0F25C249">
      <w:pPr>
        <w:spacing w:line="460" w:lineRule="exact"/>
        <w:ind w:firstLine="422" w:firstLineChars="200"/>
        <w:rPr>
          <w:rFonts w:hint="eastAsia" w:ascii="宋体" w:hAnsi="宋体" w:cs="宋体"/>
          <w:b/>
          <w:bCs/>
          <w:szCs w:val="21"/>
        </w:rPr>
      </w:pPr>
      <w:r>
        <w:rPr>
          <w:rFonts w:hint="eastAsia" w:ascii="宋体" w:hAnsi="宋体" w:cs="宋体"/>
          <w:b/>
          <w:bCs/>
          <w:szCs w:val="21"/>
        </w:rPr>
        <w:t>20.3可中止电子交易活动的情形</w:t>
      </w:r>
    </w:p>
    <w:p w14:paraId="369B2231">
      <w:pPr>
        <w:spacing w:line="460" w:lineRule="exact"/>
        <w:ind w:firstLine="420" w:firstLineChars="200"/>
        <w:rPr>
          <w:rFonts w:hint="eastAsia" w:ascii="宋体" w:hAnsi="宋体" w:cs="宋体"/>
          <w:szCs w:val="21"/>
        </w:rPr>
      </w:pPr>
      <w:r>
        <w:rPr>
          <w:rFonts w:hint="eastAsia" w:ascii="宋体" w:hAnsi="宋体" w:cs="宋体"/>
          <w:szCs w:val="21"/>
        </w:rPr>
        <w:t>采购过程中出现以下情形，导致广西政府采购云平台无法正常运行，或者无法保证电子交易的公平、公正和安全时，采购代理机构可中止电子交易活动：</w:t>
      </w:r>
    </w:p>
    <w:p w14:paraId="787B8A10">
      <w:pPr>
        <w:spacing w:line="460" w:lineRule="exact"/>
        <w:ind w:firstLine="525" w:firstLineChars="250"/>
        <w:rPr>
          <w:rFonts w:hint="eastAsia" w:ascii="宋体" w:hAnsi="宋体" w:cs="宋体"/>
          <w:szCs w:val="21"/>
        </w:rPr>
      </w:pPr>
      <w:r>
        <w:rPr>
          <w:rFonts w:hint="eastAsia" w:ascii="宋体" w:hAnsi="宋体" w:cs="宋体"/>
          <w:szCs w:val="21"/>
        </w:rPr>
        <w:t>20.3.1广西政府采购云平台发生故障而无法登录访问的；</w:t>
      </w:r>
    </w:p>
    <w:p w14:paraId="366C86F7">
      <w:pPr>
        <w:spacing w:line="460" w:lineRule="exact"/>
        <w:ind w:firstLine="525" w:firstLineChars="250"/>
        <w:rPr>
          <w:rFonts w:hint="eastAsia" w:ascii="宋体" w:hAnsi="宋体" w:cs="宋体"/>
          <w:szCs w:val="21"/>
        </w:rPr>
      </w:pPr>
      <w:r>
        <w:rPr>
          <w:rFonts w:hint="eastAsia" w:ascii="宋体" w:hAnsi="宋体" w:cs="宋体"/>
          <w:szCs w:val="21"/>
        </w:rPr>
        <w:t>20.3.2广西政府采购云平台应用或数据库出现错误，不能进行正常操作的；</w:t>
      </w:r>
    </w:p>
    <w:p w14:paraId="7C829502">
      <w:pPr>
        <w:spacing w:line="460" w:lineRule="exact"/>
        <w:ind w:firstLine="525" w:firstLineChars="250"/>
        <w:rPr>
          <w:rFonts w:hint="eastAsia" w:ascii="宋体" w:hAnsi="宋体" w:cs="宋体"/>
          <w:szCs w:val="21"/>
        </w:rPr>
      </w:pPr>
      <w:r>
        <w:rPr>
          <w:rFonts w:hint="eastAsia" w:ascii="宋体" w:hAnsi="宋体" w:cs="宋体"/>
          <w:szCs w:val="21"/>
        </w:rPr>
        <w:t>20.3.3广西政府采购云平台发现严重安全漏洞，有潜在泄密危险的；</w:t>
      </w:r>
    </w:p>
    <w:p w14:paraId="389B616B">
      <w:pPr>
        <w:spacing w:line="460" w:lineRule="exact"/>
        <w:ind w:firstLine="525" w:firstLineChars="250"/>
        <w:rPr>
          <w:rFonts w:hint="eastAsia" w:ascii="宋体" w:hAnsi="宋体" w:cs="宋体"/>
          <w:szCs w:val="21"/>
        </w:rPr>
      </w:pPr>
      <w:r>
        <w:rPr>
          <w:rFonts w:hint="eastAsia" w:ascii="宋体" w:hAnsi="宋体" w:cs="宋体"/>
          <w:szCs w:val="21"/>
        </w:rPr>
        <w:t>20.3.4病毒发作导致不能进行正常操作的；</w:t>
      </w:r>
    </w:p>
    <w:p w14:paraId="3BF50ABB">
      <w:pPr>
        <w:spacing w:line="460" w:lineRule="exact"/>
        <w:ind w:firstLine="525" w:firstLineChars="250"/>
        <w:rPr>
          <w:rFonts w:hint="eastAsia" w:ascii="宋体" w:hAnsi="宋体" w:cs="宋体"/>
          <w:szCs w:val="21"/>
        </w:rPr>
      </w:pPr>
      <w:r>
        <w:rPr>
          <w:rFonts w:hint="eastAsia" w:ascii="宋体" w:hAnsi="宋体" w:cs="宋体"/>
          <w:szCs w:val="21"/>
        </w:rPr>
        <w:t>20.3.5其他无法保证电子交易的公平、公正和安全的情况。</w:t>
      </w:r>
    </w:p>
    <w:p w14:paraId="42A97F00">
      <w:pPr>
        <w:spacing w:line="460" w:lineRule="exact"/>
        <w:ind w:firstLine="420" w:firstLineChars="200"/>
        <w:rPr>
          <w:rFonts w:hint="eastAsia" w:ascii="宋体" w:hAnsi="宋体" w:cs="宋体"/>
          <w:szCs w:val="21"/>
        </w:rPr>
      </w:pPr>
      <w:r>
        <w:rPr>
          <w:rFonts w:hint="eastAsia" w:ascii="宋体" w:hAnsi="宋体" w:cs="宋体"/>
          <w:szCs w:val="21"/>
        </w:rPr>
        <w:t>出现前款规定情形，不影响采购公平、公正性的，采购代理机构可以待上述情形消除后继续组织电子交易活动，也可以决定某些环节以纸质形式进行；影响或可能影响采购公平、公正性的，应当重新采购。</w:t>
      </w:r>
    </w:p>
    <w:p w14:paraId="7B79FF62">
      <w:pPr>
        <w:snapToGrid w:val="0"/>
        <w:spacing w:line="400" w:lineRule="exact"/>
        <w:ind w:firstLine="413" w:firstLineChars="196"/>
        <w:rPr>
          <w:rFonts w:hint="eastAsia" w:ascii="宋体" w:hAnsi="宋体" w:cs="宋体"/>
          <w:b/>
          <w:szCs w:val="21"/>
        </w:rPr>
      </w:pPr>
      <w:r>
        <w:rPr>
          <w:rFonts w:hint="eastAsia" w:ascii="宋体" w:hAnsi="宋体" w:cs="宋体"/>
          <w:b/>
          <w:szCs w:val="21"/>
        </w:rPr>
        <w:t>四、开标</w:t>
      </w:r>
    </w:p>
    <w:p w14:paraId="12475162">
      <w:pPr>
        <w:pStyle w:val="11"/>
        <w:snapToGrid w:val="0"/>
        <w:spacing w:line="400" w:lineRule="exact"/>
        <w:ind w:firstLine="413" w:firstLineChars="196"/>
        <w:rPr>
          <w:rFonts w:hint="eastAsia" w:hAnsi="宋体" w:cs="宋体"/>
          <w:b/>
        </w:rPr>
      </w:pPr>
      <w:r>
        <w:rPr>
          <w:rFonts w:hint="eastAsia" w:hAnsi="宋体" w:cs="宋体"/>
          <w:b/>
        </w:rPr>
        <w:t>21.开标准备</w:t>
      </w:r>
    </w:p>
    <w:p w14:paraId="5509DCF7">
      <w:pPr>
        <w:snapToGrid w:val="0"/>
        <w:spacing w:line="400" w:lineRule="exact"/>
        <w:ind w:firstLine="420"/>
        <w:jc w:val="left"/>
        <w:rPr>
          <w:rFonts w:hint="eastAsia" w:ascii="宋体" w:hAnsi="宋体" w:cs="宋体"/>
          <w:szCs w:val="21"/>
        </w:rPr>
      </w:pPr>
      <w:r>
        <w:rPr>
          <w:rFonts w:hint="eastAsia" w:ascii="宋体" w:hAnsi="宋体" w:cs="宋体"/>
          <w:szCs w:val="21"/>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766ECAB1">
      <w:pPr>
        <w:pStyle w:val="11"/>
        <w:snapToGrid w:val="0"/>
        <w:spacing w:line="400" w:lineRule="exact"/>
        <w:ind w:firstLine="422" w:firstLineChars="200"/>
        <w:rPr>
          <w:rFonts w:hint="eastAsia" w:hAnsi="宋体" w:cs="宋体"/>
          <w:b/>
        </w:rPr>
      </w:pPr>
      <w:r>
        <w:rPr>
          <w:rFonts w:hint="eastAsia" w:hAnsi="宋体" w:cs="宋体"/>
          <w:b/>
        </w:rPr>
        <w:t>22.开标程序</w:t>
      </w:r>
    </w:p>
    <w:p w14:paraId="1362D5C6">
      <w:pPr>
        <w:snapToGrid w:val="0"/>
        <w:spacing w:line="400" w:lineRule="exact"/>
        <w:ind w:firstLine="420"/>
        <w:jc w:val="left"/>
        <w:rPr>
          <w:rFonts w:hint="eastAsia" w:ascii="宋体" w:hAnsi="宋体" w:cs="宋体"/>
          <w:szCs w:val="21"/>
        </w:rPr>
      </w:pPr>
      <w:r>
        <w:rPr>
          <w:rFonts w:hint="eastAsia" w:ascii="宋体" w:hAnsi="宋体" w:cs="宋体"/>
          <w:szCs w:val="21"/>
        </w:rPr>
        <w:t>22.1开标会由采购代理机构主持；</w:t>
      </w:r>
    </w:p>
    <w:p w14:paraId="51AFCEF1">
      <w:pPr>
        <w:snapToGrid w:val="0"/>
        <w:spacing w:line="400" w:lineRule="exact"/>
        <w:ind w:firstLine="420"/>
        <w:jc w:val="left"/>
        <w:rPr>
          <w:rFonts w:hint="eastAsia" w:ascii="宋体" w:hAnsi="宋体" w:cs="宋体"/>
          <w:szCs w:val="21"/>
        </w:rPr>
      </w:pPr>
      <w:r>
        <w:rPr>
          <w:rFonts w:hint="eastAsia" w:ascii="宋体" w:hAnsi="宋体" w:cs="宋体"/>
          <w:szCs w:val="21"/>
        </w:rPr>
        <w:t>22.2截标后，广西政府采购云电子交易平台自动提取所有投标人的电子投标文件，采购代理机构向各投标人发出解密通知，投标人须在采购代理机构开启解密标书后30分钟内对上传广西政府采购云平台的投标文件进行解密。非广西政府采购云技术原因造成的投标人超过解密时限未完成解密的，或投标文件无法解密或解密失败，视为投标人放弃投标，投标无效。</w:t>
      </w:r>
    </w:p>
    <w:p w14:paraId="60A2CE5D">
      <w:pPr>
        <w:tabs>
          <w:tab w:val="left" w:pos="3870"/>
          <w:tab w:val="left" w:pos="4085"/>
        </w:tabs>
        <w:snapToGrid w:val="0"/>
        <w:spacing w:line="420" w:lineRule="exact"/>
        <w:ind w:firstLine="420" w:firstLineChars="200"/>
        <w:jc w:val="left"/>
        <w:rPr>
          <w:rFonts w:hint="eastAsia" w:ascii="宋体" w:hAnsi="宋体" w:cs="宋体"/>
          <w:szCs w:val="21"/>
        </w:rPr>
      </w:pPr>
      <w:r>
        <w:rPr>
          <w:rFonts w:hint="eastAsia" w:ascii="宋体" w:hAnsi="宋体" w:cs="宋体"/>
          <w:szCs w:val="21"/>
        </w:rPr>
        <w:t>22.3电子投标文件解密结束，开启报价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60D3A551">
      <w:pPr>
        <w:snapToGrid w:val="0"/>
        <w:spacing w:line="400" w:lineRule="exact"/>
        <w:ind w:firstLine="420"/>
        <w:jc w:val="left"/>
        <w:rPr>
          <w:rFonts w:hint="eastAsia" w:ascii="宋体" w:hAnsi="宋体" w:cs="宋体"/>
          <w:szCs w:val="21"/>
        </w:rPr>
      </w:pPr>
      <w:r>
        <w:rPr>
          <w:rFonts w:hint="eastAsia" w:ascii="宋体" w:hAnsi="宋体" w:cs="宋体"/>
          <w:szCs w:val="21"/>
        </w:rPr>
        <w:t>22.4公开报价；</w:t>
      </w:r>
    </w:p>
    <w:p w14:paraId="327A04F8">
      <w:pPr>
        <w:snapToGrid w:val="0"/>
        <w:spacing w:line="400" w:lineRule="exact"/>
        <w:ind w:firstLine="420"/>
        <w:jc w:val="left"/>
        <w:rPr>
          <w:rFonts w:hint="eastAsia" w:ascii="宋体" w:hAnsi="宋体" w:cs="宋体"/>
          <w:szCs w:val="21"/>
        </w:rPr>
      </w:pPr>
      <w:r>
        <w:rPr>
          <w:rFonts w:hint="eastAsia" w:ascii="宋体" w:hAnsi="宋体" w:cs="宋体"/>
          <w:szCs w:val="21"/>
        </w:rPr>
        <w:t>22.5报价确认：采购代理机构开启签字时段，投标人应及时通过CA证书对报价记录表进行确认。未在规定时间内确认的，视同认可开标结果；</w:t>
      </w:r>
    </w:p>
    <w:p w14:paraId="0E1D7131">
      <w:pPr>
        <w:snapToGrid w:val="0"/>
        <w:spacing w:line="370" w:lineRule="exact"/>
        <w:ind w:firstLine="420"/>
        <w:jc w:val="left"/>
        <w:rPr>
          <w:rFonts w:hint="eastAsia" w:ascii="宋体" w:hAnsi="宋体" w:cs="宋体"/>
          <w:szCs w:val="21"/>
        </w:rPr>
      </w:pPr>
      <w:r>
        <w:rPr>
          <w:rFonts w:hint="eastAsia" w:ascii="宋体" w:hAnsi="宋体" w:cs="宋体"/>
          <w:szCs w:val="21"/>
        </w:rPr>
        <w:t>22.6开标会结束。</w:t>
      </w:r>
    </w:p>
    <w:p w14:paraId="1A8C2923">
      <w:pPr>
        <w:snapToGrid w:val="0"/>
        <w:spacing w:line="370" w:lineRule="exact"/>
        <w:ind w:firstLine="413" w:firstLineChars="196"/>
        <w:rPr>
          <w:rFonts w:hint="eastAsia" w:ascii="宋体" w:hAnsi="宋体" w:cs="宋体"/>
          <w:b/>
          <w:bCs/>
          <w:kern w:val="0"/>
          <w:szCs w:val="21"/>
        </w:rPr>
      </w:pPr>
      <w:r>
        <w:rPr>
          <w:rFonts w:hint="eastAsia" w:ascii="宋体" w:hAnsi="宋体" w:cs="宋体"/>
          <w:b/>
          <w:bCs/>
          <w:kern w:val="0"/>
          <w:szCs w:val="21"/>
        </w:rPr>
        <w:t>五、资格性审查</w:t>
      </w:r>
    </w:p>
    <w:p w14:paraId="0E12F05F">
      <w:pPr>
        <w:snapToGrid w:val="0"/>
        <w:spacing w:line="370" w:lineRule="exact"/>
        <w:ind w:firstLine="420"/>
        <w:jc w:val="left"/>
        <w:rPr>
          <w:rFonts w:hint="eastAsia" w:ascii="宋体" w:hAnsi="宋体" w:cs="宋体"/>
          <w:szCs w:val="21"/>
        </w:rPr>
      </w:pPr>
      <w:r>
        <w:rPr>
          <w:rFonts w:hint="eastAsia" w:ascii="宋体" w:hAnsi="宋体" w:cs="宋体"/>
          <w:szCs w:val="21"/>
        </w:rPr>
        <w:t>23.采购人应当依法对投标人的资格进行审查。</w:t>
      </w:r>
    </w:p>
    <w:p w14:paraId="079C1906">
      <w:pPr>
        <w:snapToGrid w:val="0"/>
        <w:spacing w:line="370" w:lineRule="exact"/>
        <w:ind w:firstLine="420"/>
        <w:jc w:val="left"/>
        <w:rPr>
          <w:rFonts w:hint="eastAsia" w:ascii="宋体" w:hAnsi="宋体" w:cs="宋体"/>
          <w:szCs w:val="21"/>
        </w:rPr>
      </w:pPr>
      <w:r>
        <w:rPr>
          <w:rFonts w:hint="eastAsia" w:ascii="宋体" w:hAnsi="宋体" w:cs="宋体"/>
          <w:szCs w:val="21"/>
        </w:rPr>
        <w:t>24.合格投标人不足三家的，不得评标。</w:t>
      </w:r>
    </w:p>
    <w:p w14:paraId="0A78AA9D">
      <w:pPr>
        <w:pStyle w:val="11"/>
        <w:snapToGrid w:val="0"/>
        <w:spacing w:line="370" w:lineRule="exact"/>
        <w:ind w:firstLine="413" w:firstLineChars="196"/>
        <w:rPr>
          <w:rFonts w:hint="eastAsia" w:hAnsi="宋体" w:cs="宋体"/>
          <w:b/>
        </w:rPr>
      </w:pPr>
      <w:bookmarkStart w:id="59" w:name="_Toc254970545"/>
      <w:bookmarkStart w:id="60" w:name="_Toc254970686"/>
      <w:r>
        <w:rPr>
          <w:rFonts w:hint="eastAsia" w:hAnsi="宋体" w:cs="宋体"/>
          <w:b/>
        </w:rPr>
        <w:t>六、评标</w:t>
      </w:r>
      <w:bookmarkEnd w:id="59"/>
      <w:bookmarkEnd w:id="60"/>
    </w:p>
    <w:p w14:paraId="5235FBB0">
      <w:pPr>
        <w:pStyle w:val="11"/>
        <w:snapToGrid w:val="0"/>
        <w:spacing w:line="370" w:lineRule="exact"/>
        <w:ind w:left="690" w:leftChars="228" w:hanging="211" w:hangingChars="100"/>
        <w:rPr>
          <w:rFonts w:hint="eastAsia" w:hAnsi="宋体" w:cs="宋体"/>
          <w:b/>
        </w:rPr>
      </w:pPr>
      <w:r>
        <w:rPr>
          <w:rFonts w:hint="eastAsia" w:hAnsi="宋体" w:cs="宋体"/>
          <w:b/>
        </w:rPr>
        <w:t>25.组建评标委员会</w:t>
      </w:r>
    </w:p>
    <w:p w14:paraId="7C0560AE">
      <w:pPr>
        <w:snapToGrid w:val="0"/>
        <w:spacing w:line="370" w:lineRule="exact"/>
        <w:ind w:firstLine="420"/>
        <w:jc w:val="left"/>
        <w:rPr>
          <w:rFonts w:hint="eastAsia" w:ascii="宋体" w:hAnsi="宋体" w:cs="宋体"/>
          <w:szCs w:val="21"/>
        </w:rPr>
      </w:pPr>
      <w:r>
        <w:rPr>
          <w:rFonts w:hint="eastAsia" w:ascii="宋体" w:hAnsi="宋体" w:cs="宋体"/>
          <w:szCs w:val="21"/>
        </w:rPr>
        <w:t>25.1本项目评标委员会由采购人代表和评审专家组成。</w:t>
      </w:r>
    </w:p>
    <w:p w14:paraId="755AF9EE">
      <w:pPr>
        <w:pStyle w:val="11"/>
        <w:snapToGrid w:val="0"/>
        <w:spacing w:line="370" w:lineRule="exact"/>
        <w:ind w:left="690" w:leftChars="228" w:hanging="211" w:hangingChars="100"/>
        <w:rPr>
          <w:rFonts w:hint="eastAsia" w:hAnsi="宋体" w:cs="宋体"/>
          <w:b/>
        </w:rPr>
      </w:pPr>
      <w:r>
        <w:rPr>
          <w:rFonts w:hint="eastAsia" w:hAnsi="宋体" w:cs="宋体"/>
          <w:b/>
        </w:rPr>
        <w:t>26.评标的方式</w:t>
      </w:r>
    </w:p>
    <w:p w14:paraId="3E331014">
      <w:pPr>
        <w:snapToGrid w:val="0"/>
        <w:spacing w:line="370" w:lineRule="exact"/>
        <w:ind w:firstLine="420"/>
        <w:jc w:val="left"/>
        <w:rPr>
          <w:rFonts w:hint="eastAsia" w:ascii="宋体" w:hAnsi="宋体" w:cs="宋体"/>
          <w:szCs w:val="21"/>
        </w:rPr>
      </w:pPr>
      <w:r>
        <w:rPr>
          <w:rFonts w:hint="eastAsia" w:ascii="宋体" w:hAnsi="宋体" w:cs="宋体"/>
          <w:szCs w:val="21"/>
        </w:rPr>
        <w:t>26.1本项目采用不公开方式评标，评标的依据为招标文件和投标文件。</w:t>
      </w:r>
    </w:p>
    <w:p w14:paraId="47FCA967">
      <w:pPr>
        <w:pStyle w:val="11"/>
        <w:snapToGrid w:val="0"/>
        <w:spacing w:line="370" w:lineRule="exact"/>
        <w:ind w:left="690" w:leftChars="228" w:hanging="211" w:hangingChars="100"/>
        <w:rPr>
          <w:rFonts w:hint="eastAsia" w:hAnsi="宋体" w:cs="宋体"/>
          <w:b/>
        </w:rPr>
      </w:pPr>
      <w:r>
        <w:rPr>
          <w:rFonts w:hint="eastAsia" w:hAnsi="宋体" w:cs="宋体"/>
          <w:b/>
        </w:rPr>
        <w:t>27.</w:t>
      </w:r>
      <w:r>
        <w:rPr>
          <w:rFonts w:hint="eastAsia" w:hAnsi="宋体" w:cs="宋体"/>
          <w:b/>
          <w:bCs/>
        </w:rPr>
        <w:t>评标程序</w:t>
      </w:r>
    </w:p>
    <w:p w14:paraId="42FBC1F7">
      <w:pPr>
        <w:snapToGrid w:val="0"/>
        <w:spacing w:line="370" w:lineRule="exact"/>
        <w:ind w:firstLine="413" w:firstLineChars="196"/>
        <w:rPr>
          <w:rFonts w:hint="eastAsia" w:ascii="宋体" w:hAnsi="宋体" w:cs="宋体"/>
          <w:b/>
          <w:bCs/>
          <w:kern w:val="0"/>
          <w:szCs w:val="21"/>
        </w:rPr>
      </w:pPr>
      <w:r>
        <w:rPr>
          <w:rFonts w:hint="eastAsia" w:ascii="宋体" w:hAnsi="宋体" w:cs="宋体"/>
          <w:b/>
          <w:bCs/>
          <w:kern w:val="0"/>
          <w:szCs w:val="21"/>
        </w:rPr>
        <w:t>27.1符合性审查</w:t>
      </w:r>
    </w:p>
    <w:p w14:paraId="4F4CE9A3">
      <w:pPr>
        <w:snapToGrid w:val="0"/>
        <w:spacing w:line="370" w:lineRule="exact"/>
        <w:ind w:firstLine="420"/>
        <w:jc w:val="left"/>
        <w:rPr>
          <w:rFonts w:hint="eastAsia" w:ascii="宋体" w:hAnsi="宋体" w:cs="宋体"/>
          <w:szCs w:val="21"/>
        </w:rPr>
      </w:pPr>
      <w:r>
        <w:rPr>
          <w:rFonts w:hint="eastAsia" w:ascii="宋体" w:hAnsi="宋体" w:cs="宋体"/>
          <w:szCs w:val="21"/>
        </w:rPr>
        <w:t>（1）评标委员会审查、评价投标文件是否符合招标文件的商务、技术等实质性要求。</w:t>
      </w:r>
    </w:p>
    <w:p w14:paraId="54ABE1F0">
      <w:pPr>
        <w:snapToGrid w:val="0"/>
        <w:spacing w:line="370" w:lineRule="exact"/>
        <w:ind w:firstLine="420"/>
        <w:jc w:val="left"/>
        <w:rPr>
          <w:rFonts w:hint="eastAsia" w:ascii="宋体" w:hAnsi="宋体" w:cs="宋体"/>
          <w:szCs w:val="21"/>
        </w:rPr>
      </w:pPr>
      <w:r>
        <w:rPr>
          <w:rFonts w:hint="eastAsia" w:ascii="宋体" w:hAnsi="宋体" w:cs="宋体"/>
          <w:szCs w:val="21"/>
        </w:rPr>
        <w:t>（2）评标委员会将根据投标人的投标文件进行审查、核对，如有疑问，评标委员会将通过广西政府采购云平台，以询标函的方式要求投标人在线对相关问题进行澄清或者说明。</w:t>
      </w:r>
    </w:p>
    <w:p w14:paraId="61079837">
      <w:pPr>
        <w:snapToGrid w:val="0"/>
        <w:spacing w:line="370" w:lineRule="exact"/>
        <w:ind w:firstLine="413" w:firstLineChars="196"/>
        <w:rPr>
          <w:rFonts w:hint="eastAsia" w:ascii="宋体" w:hAnsi="宋体" w:cs="宋体"/>
          <w:b/>
          <w:bCs/>
          <w:kern w:val="0"/>
          <w:szCs w:val="21"/>
        </w:rPr>
      </w:pPr>
      <w:r>
        <w:rPr>
          <w:rFonts w:hint="eastAsia" w:ascii="宋体" w:hAnsi="宋体" w:cs="宋体"/>
          <w:b/>
          <w:bCs/>
          <w:kern w:val="0"/>
          <w:szCs w:val="21"/>
        </w:rPr>
        <w:t>27.2投标文件的比较和评价</w:t>
      </w:r>
    </w:p>
    <w:p w14:paraId="7B6762A0">
      <w:pPr>
        <w:snapToGrid w:val="0"/>
        <w:spacing w:line="370" w:lineRule="exact"/>
        <w:ind w:firstLine="420"/>
        <w:jc w:val="left"/>
        <w:rPr>
          <w:rFonts w:hint="eastAsia" w:ascii="宋体" w:hAnsi="宋体" w:cs="宋体"/>
          <w:szCs w:val="21"/>
        </w:rPr>
      </w:pPr>
      <w:r>
        <w:rPr>
          <w:rFonts w:hint="eastAsia" w:ascii="宋体" w:hAnsi="宋体" w:cs="宋体"/>
          <w:szCs w:val="21"/>
        </w:rPr>
        <w:t>（1）各投标人的技术得分为所有评委的有效评分的算术平均数。</w:t>
      </w:r>
    </w:p>
    <w:p w14:paraId="483F7C80">
      <w:pPr>
        <w:snapToGrid w:val="0"/>
        <w:spacing w:line="370" w:lineRule="exact"/>
        <w:ind w:firstLine="420"/>
        <w:jc w:val="left"/>
        <w:rPr>
          <w:rFonts w:hint="eastAsia" w:ascii="宋体" w:hAnsi="宋体" w:cs="宋体"/>
          <w:szCs w:val="21"/>
        </w:rPr>
      </w:pPr>
      <w:r>
        <w:rPr>
          <w:rFonts w:hint="eastAsia" w:ascii="宋体" w:hAnsi="宋体" w:cs="宋体"/>
          <w:szCs w:val="21"/>
        </w:rPr>
        <w:t>（2）评标委员会完成评标后，评委对各部分得分汇总，计算出本项目最终得分等。评标委员会按评标标准推荐中标候选人同时起草评标报告。</w:t>
      </w:r>
    </w:p>
    <w:p w14:paraId="46981563">
      <w:pPr>
        <w:snapToGrid w:val="0"/>
        <w:spacing w:line="370" w:lineRule="exact"/>
        <w:ind w:firstLine="422" w:firstLineChars="200"/>
        <w:rPr>
          <w:rFonts w:hint="eastAsia" w:ascii="宋体" w:hAnsi="宋体" w:cs="宋体"/>
          <w:b/>
          <w:szCs w:val="21"/>
        </w:rPr>
      </w:pPr>
      <w:r>
        <w:rPr>
          <w:rFonts w:hint="eastAsia" w:ascii="宋体" w:hAnsi="宋体" w:cs="宋体"/>
          <w:b/>
          <w:szCs w:val="21"/>
        </w:rPr>
        <w:t>28.澄清问题的形式</w:t>
      </w:r>
    </w:p>
    <w:p w14:paraId="53795D77">
      <w:pPr>
        <w:snapToGrid w:val="0"/>
        <w:spacing w:line="370" w:lineRule="exact"/>
        <w:ind w:firstLine="420"/>
        <w:jc w:val="left"/>
        <w:rPr>
          <w:rFonts w:hint="eastAsia" w:ascii="宋体" w:hAnsi="宋体" w:cs="宋体"/>
          <w:szCs w:val="21"/>
        </w:rPr>
      </w:pPr>
      <w:r>
        <w:rPr>
          <w:rFonts w:hint="eastAsia" w:ascii="宋体" w:hAnsi="宋体" w:cs="宋体"/>
          <w:szCs w:val="21"/>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72038AA6">
      <w:pPr>
        <w:snapToGrid w:val="0"/>
        <w:spacing w:line="370" w:lineRule="exact"/>
        <w:ind w:firstLine="420"/>
        <w:jc w:val="left"/>
        <w:rPr>
          <w:rFonts w:hint="eastAsia" w:ascii="宋体" w:hAnsi="宋体" w:cs="宋体"/>
          <w:szCs w:val="21"/>
        </w:rPr>
      </w:pPr>
      <w:r>
        <w:rPr>
          <w:rFonts w:hint="eastAsia" w:ascii="宋体" w:hAnsi="宋体" w:cs="宋体"/>
          <w:szCs w:val="21"/>
        </w:rPr>
        <w:t>28.2投标人应当在规定时间内通过广西政府采购云平台进行澄清、说明或者补正，并加盖投标人CA电子签章。投标人的澄清、说明或者补正不得超出投标文件的范围或者改变投标文件的实质性内容。</w:t>
      </w:r>
    </w:p>
    <w:p w14:paraId="0CEAFC24">
      <w:pPr>
        <w:snapToGrid w:val="0"/>
        <w:spacing w:line="370" w:lineRule="exact"/>
        <w:ind w:firstLine="420"/>
        <w:jc w:val="left"/>
        <w:rPr>
          <w:rFonts w:hint="eastAsia" w:ascii="宋体" w:hAnsi="宋体" w:cs="宋体"/>
          <w:szCs w:val="21"/>
        </w:rPr>
      </w:pPr>
      <w:r>
        <w:rPr>
          <w:rFonts w:hint="eastAsia" w:ascii="宋体" w:hAnsi="宋体" w:cs="宋体"/>
          <w:szCs w:val="21"/>
        </w:rPr>
        <w:t>28.3投标人超过规定时间或者拒绝澄清或者澄清的内容改变了投标文件的实质性内容的，评标委员会有权视该投标文件无效。</w:t>
      </w:r>
    </w:p>
    <w:p w14:paraId="2DD7B20B">
      <w:pPr>
        <w:snapToGrid w:val="0"/>
        <w:spacing w:line="370" w:lineRule="exact"/>
        <w:ind w:firstLine="422" w:firstLineChars="200"/>
        <w:rPr>
          <w:rFonts w:hint="eastAsia" w:ascii="宋体" w:hAnsi="宋体" w:cs="宋体"/>
          <w:b/>
          <w:szCs w:val="21"/>
        </w:rPr>
      </w:pPr>
      <w:r>
        <w:rPr>
          <w:rFonts w:hint="eastAsia" w:ascii="宋体" w:hAnsi="宋体" w:cs="宋体"/>
          <w:b/>
          <w:szCs w:val="21"/>
        </w:rPr>
        <w:t>29.错误修正</w:t>
      </w:r>
    </w:p>
    <w:p w14:paraId="46D615FB">
      <w:pPr>
        <w:snapToGrid w:val="0"/>
        <w:spacing w:line="370" w:lineRule="exact"/>
        <w:ind w:firstLine="420"/>
        <w:jc w:val="left"/>
        <w:rPr>
          <w:rFonts w:hint="eastAsia" w:ascii="宋体" w:hAnsi="宋体" w:cs="宋体"/>
          <w:szCs w:val="21"/>
        </w:rPr>
      </w:pPr>
      <w:r>
        <w:rPr>
          <w:rFonts w:hint="eastAsia" w:ascii="宋体" w:hAnsi="宋体" w:cs="宋体"/>
          <w:szCs w:val="21"/>
        </w:rPr>
        <w:t>29.1投标文件报价出现前后不一致的，除招标文件另有规定外，按照下列规定修正：</w:t>
      </w:r>
    </w:p>
    <w:p w14:paraId="1E160AB0">
      <w:pPr>
        <w:snapToGrid w:val="0"/>
        <w:spacing w:line="370" w:lineRule="exact"/>
        <w:ind w:firstLine="420"/>
        <w:jc w:val="left"/>
        <w:rPr>
          <w:rFonts w:hint="eastAsia" w:ascii="宋体" w:hAnsi="宋体" w:cs="宋体"/>
          <w:szCs w:val="21"/>
        </w:rPr>
      </w:pPr>
      <w:r>
        <w:rPr>
          <w:rFonts w:hint="eastAsia" w:ascii="宋体" w:hAnsi="宋体" w:cs="宋体"/>
          <w:szCs w:val="21"/>
        </w:rPr>
        <w:t>（1）投标文件中开标一览表（报价表）内容与投标文件中相应内容不一致的，以开标一览表（报价表）为准；</w:t>
      </w:r>
    </w:p>
    <w:p w14:paraId="4EA4C6DF">
      <w:pPr>
        <w:snapToGrid w:val="0"/>
        <w:spacing w:line="370" w:lineRule="exact"/>
        <w:ind w:firstLine="420"/>
        <w:jc w:val="left"/>
        <w:rPr>
          <w:rFonts w:hint="eastAsia" w:ascii="宋体" w:hAnsi="宋体" w:cs="宋体"/>
          <w:szCs w:val="21"/>
        </w:rPr>
      </w:pPr>
      <w:r>
        <w:rPr>
          <w:rFonts w:hint="eastAsia" w:ascii="宋体" w:hAnsi="宋体" w:cs="宋体"/>
          <w:szCs w:val="21"/>
        </w:rPr>
        <w:t>（2）大写金额和小写金额不一致的，以大写金额为准；</w:t>
      </w:r>
    </w:p>
    <w:p w14:paraId="226E370D">
      <w:pPr>
        <w:snapToGrid w:val="0"/>
        <w:spacing w:line="370" w:lineRule="exact"/>
        <w:ind w:firstLine="420"/>
        <w:jc w:val="left"/>
        <w:rPr>
          <w:rFonts w:hint="eastAsia" w:ascii="宋体" w:hAnsi="宋体" w:cs="宋体"/>
          <w:szCs w:val="21"/>
        </w:rPr>
      </w:pPr>
      <w:r>
        <w:rPr>
          <w:rFonts w:hint="eastAsia" w:ascii="宋体" w:hAnsi="宋体" w:cs="宋体"/>
          <w:szCs w:val="21"/>
        </w:rPr>
        <w:t>（3）单价金额小数点或者百分比有明显错位的，以开标一览表的总价为准，并修改单价；</w:t>
      </w:r>
    </w:p>
    <w:p w14:paraId="79429F9F">
      <w:pPr>
        <w:snapToGrid w:val="0"/>
        <w:spacing w:line="370" w:lineRule="exact"/>
        <w:ind w:firstLine="420"/>
        <w:jc w:val="left"/>
        <w:rPr>
          <w:rFonts w:hint="eastAsia" w:ascii="宋体" w:hAnsi="宋体" w:cs="宋体"/>
          <w:szCs w:val="21"/>
        </w:rPr>
      </w:pPr>
      <w:r>
        <w:rPr>
          <w:rFonts w:hint="eastAsia" w:ascii="宋体" w:hAnsi="宋体" w:cs="宋体"/>
          <w:szCs w:val="21"/>
        </w:rPr>
        <w:t>（4）总价金额与按单价汇总金额不一致的，以单价金额计算结果为准。</w:t>
      </w:r>
    </w:p>
    <w:p w14:paraId="0BF295EB">
      <w:pPr>
        <w:snapToGrid w:val="0"/>
        <w:spacing w:line="370" w:lineRule="exact"/>
        <w:ind w:firstLine="420"/>
        <w:jc w:val="left"/>
        <w:rPr>
          <w:rFonts w:hint="eastAsia" w:ascii="宋体" w:hAnsi="宋体" w:cs="宋体"/>
          <w:b/>
          <w:szCs w:val="21"/>
        </w:rPr>
      </w:pPr>
      <w:r>
        <w:rPr>
          <w:rFonts w:hint="eastAsia" w:ascii="宋体" w:hAnsi="宋体" w:cs="宋体"/>
          <w:b/>
          <w:szCs w:val="21"/>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746E1549">
      <w:pPr>
        <w:pStyle w:val="11"/>
        <w:tabs>
          <w:tab w:val="left" w:pos="630"/>
        </w:tabs>
        <w:snapToGrid w:val="0"/>
        <w:spacing w:line="370" w:lineRule="exact"/>
        <w:ind w:firstLine="413" w:firstLineChars="196"/>
        <w:rPr>
          <w:rFonts w:hint="eastAsia" w:hAnsi="宋体" w:cs="宋体"/>
          <w:b/>
        </w:rPr>
      </w:pPr>
      <w:r>
        <w:rPr>
          <w:rFonts w:hint="eastAsia" w:hAnsi="宋体" w:cs="宋体"/>
          <w:b/>
        </w:rPr>
        <w:t>30.评标原则和评标方法</w:t>
      </w:r>
    </w:p>
    <w:p w14:paraId="3E338536">
      <w:pPr>
        <w:snapToGrid w:val="0"/>
        <w:spacing w:line="370" w:lineRule="exact"/>
        <w:ind w:firstLine="420"/>
        <w:jc w:val="left"/>
        <w:rPr>
          <w:rFonts w:hint="eastAsia" w:ascii="宋体" w:hAnsi="宋体" w:cs="宋体"/>
          <w:szCs w:val="21"/>
        </w:rPr>
      </w:pPr>
      <w:r>
        <w:rPr>
          <w:rFonts w:hint="eastAsia" w:ascii="宋体" w:hAnsi="宋体" w:cs="宋体"/>
          <w:szCs w:val="21"/>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98A2D7A">
      <w:pPr>
        <w:snapToGrid w:val="0"/>
        <w:spacing w:line="370" w:lineRule="exact"/>
        <w:ind w:firstLine="420"/>
        <w:jc w:val="left"/>
        <w:rPr>
          <w:rFonts w:hint="eastAsia" w:ascii="宋体" w:hAnsi="宋体" w:cs="宋体"/>
          <w:szCs w:val="21"/>
        </w:rPr>
      </w:pPr>
      <w:r>
        <w:rPr>
          <w:rFonts w:hint="eastAsia" w:ascii="宋体" w:hAnsi="宋体" w:cs="宋体"/>
          <w:szCs w:val="21"/>
        </w:rPr>
        <w:t>30.2本项目评标方法是综合评分法，具体评标内容及评标标准等详见第四章：评标方法及评标标准。</w:t>
      </w:r>
    </w:p>
    <w:p w14:paraId="24FF7864">
      <w:pPr>
        <w:pStyle w:val="11"/>
        <w:snapToGrid w:val="0"/>
        <w:spacing w:line="370" w:lineRule="exact"/>
        <w:ind w:firstLine="413" w:firstLineChars="196"/>
        <w:rPr>
          <w:rFonts w:hint="eastAsia" w:hAnsi="宋体" w:cs="宋体"/>
          <w:b/>
        </w:rPr>
      </w:pPr>
      <w:r>
        <w:rPr>
          <w:rFonts w:hint="eastAsia" w:hAnsi="宋体" w:cs="宋体"/>
          <w:b/>
        </w:rPr>
        <w:t>31.评标过程的监控</w:t>
      </w:r>
    </w:p>
    <w:p w14:paraId="77BA4A59">
      <w:pPr>
        <w:snapToGrid w:val="0"/>
        <w:spacing w:line="370" w:lineRule="exact"/>
        <w:ind w:firstLine="420"/>
        <w:jc w:val="left"/>
        <w:rPr>
          <w:rFonts w:hint="eastAsia" w:ascii="宋体" w:hAnsi="宋体" w:cs="宋体"/>
          <w:szCs w:val="21"/>
        </w:rPr>
      </w:pPr>
      <w:r>
        <w:rPr>
          <w:rFonts w:hint="eastAsia" w:ascii="宋体" w:hAnsi="宋体" w:cs="宋体"/>
          <w:szCs w:val="21"/>
        </w:rPr>
        <w:t>31.1本项目评标过程实行全程录音、录像监控（或政府采购监督管理部门工作人员进行现场监督），投标人在评标过程中所进行的试图影响评标结果的不公正活动，可能导致其投标被拒绝。</w:t>
      </w:r>
    </w:p>
    <w:p w14:paraId="40C3371C">
      <w:pPr>
        <w:pStyle w:val="11"/>
        <w:snapToGrid w:val="0"/>
        <w:spacing w:line="370" w:lineRule="exact"/>
        <w:ind w:firstLine="422" w:firstLineChars="200"/>
        <w:rPr>
          <w:rFonts w:hint="eastAsia" w:hAnsi="宋体" w:cs="宋体"/>
        </w:rPr>
      </w:pPr>
      <w:r>
        <w:rPr>
          <w:rFonts w:hint="eastAsia" w:hAnsi="宋体" w:cs="宋体"/>
          <w:b/>
        </w:rPr>
        <w:t>七、评标结果</w:t>
      </w:r>
    </w:p>
    <w:p w14:paraId="1C2613E7">
      <w:pPr>
        <w:snapToGrid w:val="0"/>
        <w:spacing w:line="370" w:lineRule="exact"/>
        <w:ind w:firstLine="420"/>
        <w:jc w:val="left"/>
        <w:rPr>
          <w:rFonts w:hint="eastAsia" w:ascii="宋体" w:hAnsi="宋体" w:cs="宋体"/>
          <w:szCs w:val="21"/>
        </w:rPr>
      </w:pPr>
      <w:r>
        <w:rPr>
          <w:rFonts w:hint="eastAsia" w:ascii="宋体" w:hAnsi="宋体" w:cs="宋体"/>
          <w:szCs w:val="21"/>
        </w:rPr>
        <w:t>32.采购人或者采购代理机构核对评标结果。</w:t>
      </w:r>
    </w:p>
    <w:p w14:paraId="7BD63984">
      <w:pPr>
        <w:snapToGrid w:val="0"/>
        <w:spacing w:line="370" w:lineRule="exact"/>
        <w:ind w:firstLine="420"/>
        <w:jc w:val="left"/>
        <w:rPr>
          <w:rFonts w:hint="eastAsia" w:ascii="宋体" w:hAnsi="宋体" w:cs="宋体"/>
          <w:szCs w:val="21"/>
        </w:rPr>
      </w:pPr>
      <w:r>
        <w:rPr>
          <w:rFonts w:hint="eastAsia" w:ascii="宋体" w:hAnsi="宋体" w:cs="宋体"/>
          <w:szCs w:val="21"/>
        </w:rPr>
        <w:t>33.采购人或者采购代理机构在公告中标结果的同时，对未通过资格审查的投标人，应当告知其未通过的原因；采用综合评分法评审的，还应当告知未中标人本人的评审得分与排序。</w:t>
      </w:r>
    </w:p>
    <w:p w14:paraId="64696A6C">
      <w:pPr>
        <w:snapToGrid w:val="0"/>
        <w:spacing w:line="370" w:lineRule="exact"/>
        <w:ind w:firstLine="420"/>
        <w:jc w:val="left"/>
        <w:rPr>
          <w:rFonts w:hint="eastAsia" w:ascii="宋体" w:hAnsi="宋体" w:cs="宋体"/>
          <w:szCs w:val="21"/>
        </w:rPr>
      </w:pPr>
      <w:r>
        <w:rPr>
          <w:rFonts w:hint="eastAsia" w:ascii="宋体" w:hAnsi="宋体" w:cs="宋体"/>
          <w:szCs w:val="21"/>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3B24999C">
      <w:pPr>
        <w:snapToGrid w:val="0"/>
        <w:spacing w:line="370" w:lineRule="exact"/>
        <w:ind w:firstLine="420"/>
        <w:jc w:val="left"/>
        <w:rPr>
          <w:rFonts w:hint="eastAsia" w:ascii="宋体" w:hAnsi="宋体" w:cs="宋体"/>
          <w:szCs w:val="21"/>
        </w:rPr>
      </w:pPr>
      <w:r>
        <w:rPr>
          <w:rFonts w:hint="eastAsia" w:ascii="宋体" w:hAnsi="宋体" w:cs="宋体"/>
          <w:szCs w:val="21"/>
        </w:rPr>
        <w:t>35.采购人或采购代理机构应当自中标人确定之日起2个工作日内，在中国政府采购网、广西壮族自治区政府采购网发布中标公告。在发布中标公告的同时，向中标人发出中标通知书。</w:t>
      </w:r>
    </w:p>
    <w:p w14:paraId="0625D07D">
      <w:pPr>
        <w:snapToGrid w:val="0"/>
        <w:spacing w:line="370" w:lineRule="exact"/>
        <w:ind w:firstLine="420"/>
        <w:jc w:val="left"/>
        <w:rPr>
          <w:rFonts w:hint="eastAsia" w:ascii="宋体" w:hAnsi="宋体" w:cs="宋体"/>
          <w:szCs w:val="21"/>
        </w:rPr>
      </w:pPr>
      <w:r>
        <w:rPr>
          <w:rFonts w:hint="eastAsia" w:ascii="宋体" w:hAnsi="宋体" w:cs="宋体"/>
          <w:szCs w:val="21"/>
        </w:rPr>
        <w:t>36.在中标通知书发出前，采购人或采购代理机构应当对中标人信用进行查询，并按照信用信息使用规则处理。</w:t>
      </w:r>
    </w:p>
    <w:p w14:paraId="73BC0494">
      <w:pPr>
        <w:snapToGrid w:val="0"/>
        <w:spacing w:line="370" w:lineRule="exact"/>
        <w:ind w:firstLine="420"/>
        <w:jc w:val="left"/>
        <w:rPr>
          <w:rFonts w:hint="eastAsia" w:ascii="宋体" w:hAnsi="宋体" w:cs="宋体"/>
          <w:szCs w:val="21"/>
        </w:rPr>
      </w:pPr>
      <w:r>
        <w:rPr>
          <w:rFonts w:hint="eastAsia" w:ascii="宋体" w:hAnsi="宋体" w:cs="宋体"/>
          <w:szCs w:val="21"/>
        </w:rPr>
        <w:t>37.投标人对中标公告有异议的，应当在中标公告</w:t>
      </w:r>
      <w:r>
        <w:rPr>
          <w:rFonts w:hint="eastAsia" w:ascii="宋体" w:hAnsi="宋体" w:cs="宋体"/>
          <w:bCs/>
          <w:szCs w:val="21"/>
        </w:rPr>
        <w:t>期限届满</w:t>
      </w:r>
      <w:r>
        <w:rPr>
          <w:rFonts w:hint="eastAsia" w:ascii="宋体" w:hAnsi="宋体" w:cs="宋体"/>
          <w:szCs w:val="21"/>
        </w:rPr>
        <w:t>之日起七个工作日内，以书面形式向采购人或采购代理机构提出质疑，并及时索要书面回执。</w:t>
      </w:r>
    </w:p>
    <w:p w14:paraId="0F089250">
      <w:pPr>
        <w:snapToGrid w:val="0"/>
        <w:spacing w:line="370" w:lineRule="exact"/>
        <w:ind w:firstLine="420"/>
        <w:jc w:val="left"/>
        <w:rPr>
          <w:rFonts w:hint="eastAsia" w:ascii="宋体" w:hAnsi="宋体" w:cs="宋体"/>
          <w:szCs w:val="21"/>
        </w:rPr>
      </w:pPr>
      <w:r>
        <w:rPr>
          <w:rFonts w:hint="eastAsia" w:ascii="宋体" w:hAnsi="宋体" w:cs="宋体"/>
          <w:szCs w:val="21"/>
        </w:rPr>
        <w:t>38.采购人或采购代理机构（采购代理机构应当按照有关规定就采购人委托授权范围内的事项）在收到投标人的书面质疑后七个工作日内作出答复，但答复的内容不得涉及商业秘密。</w:t>
      </w:r>
    </w:p>
    <w:p w14:paraId="56E1B3F2">
      <w:pPr>
        <w:pStyle w:val="11"/>
        <w:snapToGrid w:val="0"/>
        <w:spacing w:line="370" w:lineRule="exact"/>
        <w:ind w:firstLine="413" w:firstLineChars="196"/>
        <w:rPr>
          <w:rFonts w:hint="eastAsia" w:hAnsi="宋体" w:cs="宋体"/>
          <w:b/>
        </w:rPr>
      </w:pPr>
      <w:bookmarkStart w:id="61" w:name="_Toc254970547"/>
      <w:bookmarkStart w:id="62" w:name="_Toc254970688"/>
      <w:r>
        <w:rPr>
          <w:rFonts w:hint="eastAsia" w:hAnsi="宋体" w:cs="宋体"/>
          <w:b/>
        </w:rPr>
        <w:t>八、</w:t>
      </w:r>
      <w:bookmarkEnd w:id="61"/>
      <w:bookmarkEnd w:id="62"/>
      <w:r>
        <w:rPr>
          <w:rFonts w:hint="eastAsia" w:hAnsi="宋体" w:cs="宋体"/>
          <w:b/>
        </w:rPr>
        <w:t>签订合同</w:t>
      </w:r>
    </w:p>
    <w:p w14:paraId="2BC11D30">
      <w:pPr>
        <w:pStyle w:val="11"/>
        <w:snapToGrid w:val="0"/>
        <w:spacing w:line="370" w:lineRule="exact"/>
        <w:ind w:firstLine="413" w:firstLineChars="196"/>
        <w:rPr>
          <w:rFonts w:hint="eastAsia" w:hAnsi="宋体" w:cs="宋体"/>
          <w:b/>
          <w:bCs/>
        </w:rPr>
      </w:pPr>
      <w:r>
        <w:rPr>
          <w:rFonts w:hint="eastAsia" w:hAnsi="宋体" w:cs="宋体"/>
          <w:b/>
        </w:rPr>
        <w:t>39.合同授予标准</w:t>
      </w:r>
    </w:p>
    <w:p w14:paraId="2A897ED9">
      <w:pPr>
        <w:snapToGrid w:val="0"/>
        <w:spacing w:line="370" w:lineRule="exact"/>
        <w:ind w:firstLine="420"/>
        <w:jc w:val="left"/>
        <w:rPr>
          <w:rFonts w:hint="eastAsia" w:ascii="宋体" w:hAnsi="宋体" w:cs="宋体"/>
          <w:szCs w:val="21"/>
        </w:rPr>
      </w:pPr>
      <w:r>
        <w:rPr>
          <w:rFonts w:hint="eastAsia" w:ascii="宋体" w:hAnsi="宋体" w:cs="宋体"/>
          <w:szCs w:val="21"/>
        </w:rPr>
        <w:t>39.1合同将授予被确定实质上响应招标文件要求，具备履行合同能力，综合评分排名第一的投标人。</w:t>
      </w:r>
    </w:p>
    <w:p w14:paraId="77D41E73">
      <w:pPr>
        <w:snapToGrid w:val="0"/>
        <w:spacing w:line="370" w:lineRule="exact"/>
        <w:ind w:firstLine="420"/>
        <w:jc w:val="left"/>
        <w:rPr>
          <w:rFonts w:hint="eastAsia" w:ascii="宋体" w:hAnsi="宋体" w:cs="宋体"/>
          <w:b/>
          <w:bCs/>
          <w:szCs w:val="21"/>
        </w:rPr>
      </w:pPr>
      <w:r>
        <w:rPr>
          <w:rFonts w:hint="eastAsia" w:ascii="宋体" w:hAnsi="宋体" w:cs="宋体"/>
          <w:b/>
          <w:bCs/>
          <w:szCs w:val="21"/>
        </w:rPr>
        <w:t>40.签订合同</w:t>
      </w:r>
    </w:p>
    <w:p w14:paraId="1FA116E4">
      <w:pPr>
        <w:snapToGrid w:val="0"/>
        <w:spacing w:line="370" w:lineRule="exact"/>
        <w:ind w:firstLine="420"/>
        <w:jc w:val="left"/>
        <w:rPr>
          <w:rFonts w:hint="eastAsia" w:ascii="宋体" w:hAnsi="宋体" w:cs="宋体"/>
          <w:szCs w:val="21"/>
        </w:rPr>
      </w:pPr>
      <w:r>
        <w:rPr>
          <w:rFonts w:hint="eastAsia" w:ascii="宋体" w:hAnsi="宋体" w:cs="宋体"/>
          <w:szCs w:val="21"/>
        </w:rPr>
        <w:t>40.1中标人接到中标通知书后，应按有关规定规定的时间、地点与采购人签订合同。</w:t>
      </w:r>
    </w:p>
    <w:p w14:paraId="01F7FF13">
      <w:pPr>
        <w:snapToGrid w:val="0"/>
        <w:spacing w:line="370" w:lineRule="exact"/>
        <w:ind w:firstLine="420"/>
        <w:jc w:val="left"/>
        <w:rPr>
          <w:rFonts w:hint="eastAsia" w:ascii="宋体" w:hAnsi="宋体" w:cs="宋体"/>
          <w:szCs w:val="21"/>
        </w:rPr>
      </w:pPr>
      <w:r>
        <w:rPr>
          <w:rFonts w:hint="eastAsia" w:ascii="宋体" w:hAnsi="宋体" w:cs="宋体"/>
          <w:szCs w:val="21"/>
        </w:rPr>
        <w:t>40.2中标人因不可抗力或者自身原因不能履行采购合同的，采购人或采购代理机构应将该情况报政府采购监督管理部门，从合格的中标候选人中另行确定中标人或重新开展政府采购活动。</w:t>
      </w:r>
    </w:p>
    <w:p w14:paraId="22013201">
      <w:bookmarkStart w:id="63" w:name="_Toc254970548"/>
      <w:bookmarkStart w:id="64" w:name="_Toc254970689"/>
      <w:bookmarkStart w:id="65" w:name="_Toc497578452"/>
      <w:r>
        <w:br w:type="page"/>
      </w:r>
    </w:p>
    <w:p w14:paraId="22E80963">
      <w:pPr>
        <w:pStyle w:val="2"/>
        <w:spacing w:line="240" w:lineRule="auto"/>
        <w:jc w:val="center"/>
        <w:rPr>
          <w:sz w:val="30"/>
          <w:szCs w:val="30"/>
        </w:rPr>
      </w:pPr>
      <w:bookmarkStart w:id="66" w:name="_Toc30383"/>
      <w:bookmarkStart w:id="67" w:name="_Toc20612"/>
      <w:bookmarkStart w:id="68" w:name="_Toc31043"/>
      <w:bookmarkStart w:id="69" w:name="_Toc9362"/>
      <w:bookmarkStart w:id="70" w:name="_Toc25703"/>
      <w:bookmarkStart w:id="71" w:name="_Toc21433"/>
      <w:bookmarkStart w:id="72" w:name="_Toc27528"/>
      <w:bookmarkStart w:id="73" w:name="_Toc82792180"/>
      <w:r>
        <w:rPr>
          <w:rFonts w:hint="eastAsia"/>
          <w:sz w:val="30"/>
          <w:szCs w:val="30"/>
        </w:rPr>
        <w:t xml:space="preserve">第四章 </w:t>
      </w:r>
      <w:bookmarkEnd w:id="63"/>
      <w:bookmarkEnd w:id="64"/>
      <w:r>
        <w:rPr>
          <w:rFonts w:hint="eastAsia"/>
          <w:sz w:val="30"/>
          <w:szCs w:val="30"/>
        </w:rPr>
        <w:t xml:space="preserve"> 评标方法及评标标准</w:t>
      </w:r>
      <w:bookmarkEnd w:id="65"/>
      <w:bookmarkEnd w:id="66"/>
      <w:bookmarkEnd w:id="67"/>
      <w:bookmarkEnd w:id="68"/>
      <w:bookmarkEnd w:id="69"/>
      <w:bookmarkEnd w:id="70"/>
      <w:bookmarkEnd w:id="71"/>
      <w:bookmarkEnd w:id="72"/>
      <w:bookmarkEnd w:id="73"/>
    </w:p>
    <w:p w14:paraId="3ABCEE36">
      <w:pPr>
        <w:pStyle w:val="11"/>
        <w:widowControl/>
        <w:jc w:val="center"/>
        <w:rPr>
          <w:rFonts w:hint="eastAsia" w:hAnsi="宋体" w:cs="宋体"/>
          <w:b/>
          <w:sz w:val="28"/>
          <w:szCs w:val="28"/>
        </w:rPr>
      </w:pPr>
      <w:r>
        <w:rPr>
          <w:rFonts w:hint="eastAsia" w:hAnsi="宋体" w:cs="宋体"/>
          <w:b/>
          <w:bCs/>
          <w:sz w:val="28"/>
          <w:szCs w:val="28"/>
        </w:rPr>
        <w:t>评标方法及评标标准</w:t>
      </w:r>
    </w:p>
    <w:p w14:paraId="7D0B5FE3">
      <w:pPr>
        <w:spacing w:line="390" w:lineRule="exact"/>
        <w:ind w:right="-168" w:rightChars="-80" w:firstLine="422" w:firstLineChars="200"/>
        <w:rPr>
          <w:rFonts w:hint="eastAsia" w:ascii="宋体" w:hAnsi="宋体" w:cs="宋体"/>
          <w:b/>
          <w:bCs/>
          <w:szCs w:val="21"/>
        </w:rPr>
      </w:pPr>
      <w:r>
        <w:rPr>
          <w:rFonts w:hint="eastAsia" w:ascii="宋体" w:hAnsi="宋体" w:cs="宋体"/>
          <w:b/>
          <w:bCs/>
          <w:szCs w:val="21"/>
        </w:rPr>
        <w:t>一、评标原则</w:t>
      </w:r>
    </w:p>
    <w:p w14:paraId="386A723D">
      <w:pPr>
        <w:spacing w:line="390" w:lineRule="exact"/>
        <w:ind w:right="-168" w:rightChars="-80"/>
        <w:rPr>
          <w:rFonts w:hint="eastAsia" w:ascii="宋体" w:hAnsi="宋体" w:cs="宋体"/>
          <w:szCs w:val="21"/>
        </w:rPr>
      </w:pPr>
      <w:r>
        <w:rPr>
          <w:rFonts w:hint="eastAsia" w:ascii="宋体" w:hAnsi="宋体" w:cs="宋体"/>
          <w:szCs w:val="21"/>
        </w:rPr>
        <w:t xml:space="preserve">    （一）评委构成：本招标采购项目的评委分别由依法组成的评审专家、采购人代表共五人或以上单数构成，其中专家人数不少于评标委员会成员总数的三分之二。</w:t>
      </w:r>
    </w:p>
    <w:p w14:paraId="66AD61DA">
      <w:pPr>
        <w:spacing w:line="390" w:lineRule="exact"/>
        <w:ind w:right="-168" w:rightChars="-80" w:firstLine="435"/>
        <w:rPr>
          <w:rFonts w:hint="eastAsia" w:ascii="宋体" w:hAnsi="宋体" w:cs="宋体"/>
          <w:b/>
          <w:szCs w:val="21"/>
        </w:rPr>
      </w:pPr>
      <w:r>
        <w:rPr>
          <w:rFonts w:hint="eastAsia" w:ascii="宋体" w:hAnsi="宋体" w:cs="宋体"/>
          <w:b/>
          <w:szCs w:val="21"/>
        </w:rPr>
        <w:t>（二）评标依据：评委将以招投标文件为评标依据，对投标人的价格、技术、业绩等方面按百分制打分。</w:t>
      </w:r>
    </w:p>
    <w:p w14:paraId="248FE447">
      <w:pPr>
        <w:spacing w:line="390" w:lineRule="exact"/>
        <w:ind w:right="-168" w:rightChars="-80" w:firstLine="435"/>
        <w:rPr>
          <w:rFonts w:hint="eastAsia" w:ascii="宋体" w:hAnsi="宋体" w:cs="宋体"/>
          <w:szCs w:val="21"/>
        </w:rPr>
      </w:pPr>
      <w:r>
        <w:rPr>
          <w:rFonts w:hint="eastAsia" w:ascii="宋体" w:hAnsi="宋体" w:cs="宋体"/>
          <w:szCs w:val="21"/>
        </w:rPr>
        <w:t>（三）评标方式：以封闭方式进行。</w:t>
      </w:r>
    </w:p>
    <w:p w14:paraId="3F3549D7">
      <w:pPr>
        <w:spacing w:line="390" w:lineRule="exact"/>
        <w:ind w:right="-168" w:rightChars="-80" w:firstLine="435"/>
        <w:rPr>
          <w:rFonts w:hint="eastAsia" w:ascii="宋体" w:hAnsi="宋体" w:cs="宋体"/>
          <w:szCs w:val="21"/>
        </w:rPr>
      </w:pPr>
      <w:r>
        <w:rPr>
          <w:rFonts w:hint="eastAsia" w:ascii="宋体" w:hAnsi="宋体" w:cs="宋体"/>
          <w:szCs w:val="21"/>
        </w:rPr>
        <w:t xml:space="preserve">（四）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     </w:t>
      </w:r>
    </w:p>
    <w:p w14:paraId="7A5E92F8">
      <w:pPr>
        <w:spacing w:line="390" w:lineRule="exact"/>
        <w:ind w:right="-168" w:rightChars="-80" w:firstLine="435"/>
        <w:rPr>
          <w:rFonts w:hint="eastAsia" w:ascii="宋体" w:hAnsi="宋体" w:cs="宋体"/>
          <w:b/>
          <w:bCs/>
          <w:szCs w:val="21"/>
        </w:rPr>
      </w:pPr>
      <w:r>
        <w:rPr>
          <w:rFonts w:hint="eastAsia" w:ascii="宋体" w:hAnsi="宋体" w:cs="宋体"/>
          <w:b/>
          <w:bCs/>
          <w:szCs w:val="21"/>
        </w:rPr>
        <w:t>二、评标方法</w:t>
      </w:r>
      <w:r>
        <w:rPr>
          <w:rFonts w:hint="eastAsia" w:ascii="宋体" w:hAnsi="宋体" w:cs="宋体"/>
          <w:b/>
          <w:bCs/>
          <w:szCs w:val="21"/>
        </w:rPr>
        <w:tab/>
      </w:r>
    </w:p>
    <w:p w14:paraId="19393A71">
      <w:pPr>
        <w:spacing w:line="390" w:lineRule="exact"/>
        <w:ind w:right="-168" w:rightChars="-80" w:firstLine="435"/>
        <w:rPr>
          <w:rFonts w:hint="eastAsia" w:ascii="宋体" w:hAnsi="宋体" w:cs="宋体"/>
          <w:szCs w:val="21"/>
        </w:rPr>
      </w:pPr>
      <w:r>
        <w:rPr>
          <w:rFonts w:hint="eastAsia" w:ascii="宋体" w:hAnsi="宋体" w:cs="宋体"/>
          <w:szCs w:val="21"/>
        </w:rPr>
        <w:t>（一）对进入详评的，采用百分制综合评分法。</w:t>
      </w:r>
    </w:p>
    <w:p w14:paraId="4383CEC0">
      <w:pPr>
        <w:spacing w:line="390" w:lineRule="exact"/>
        <w:ind w:right="-168" w:rightChars="-80" w:firstLine="435"/>
      </w:pPr>
      <w:r>
        <w:rPr>
          <w:rFonts w:hint="eastAsia" w:ascii="宋体" w:hAnsi="宋体" w:cs="宋体"/>
          <w:szCs w:val="21"/>
        </w:rPr>
        <w:t>（二）计分办法（分值计算保留小数点后两位，第三位四舍五入）：</w:t>
      </w:r>
    </w:p>
    <w:p w14:paraId="329F8374"/>
    <w:p w14:paraId="2C82BB9B">
      <w:pPr>
        <w:pStyle w:val="12"/>
      </w:pPr>
    </w:p>
    <w:tbl>
      <w:tblPr>
        <w:tblStyle w:val="17"/>
        <w:tblW w:w="10359" w:type="dxa"/>
        <w:jc w:val="center"/>
        <w:tblLayout w:type="fixed"/>
        <w:tblCellMar>
          <w:top w:w="0" w:type="dxa"/>
          <w:left w:w="108" w:type="dxa"/>
          <w:bottom w:w="0" w:type="dxa"/>
          <w:right w:w="108" w:type="dxa"/>
        </w:tblCellMar>
      </w:tblPr>
      <w:tblGrid>
        <w:gridCol w:w="737"/>
        <w:gridCol w:w="1270"/>
        <w:gridCol w:w="1165"/>
        <w:gridCol w:w="7187"/>
      </w:tblGrid>
      <w:tr w14:paraId="48C37510">
        <w:tblPrEx>
          <w:tblCellMar>
            <w:top w:w="0" w:type="dxa"/>
            <w:left w:w="108" w:type="dxa"/>
            <w:bottom w:w="0" w:type="dxa"/>
            <w:right w:w="108" w:type="dxa"/>
          </w:tblCellMar>
        </w:tblPrEx>
        <w:trPr>
          <w:tblHeader/>
          <w:jc w:val="center"/>
        </w:trPr>
        <w:tc>
          <w:tcPr>
            <w:tcW w:w="10359" w:type="dxa"/>
            <w:gridSpan w:val="4"/>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2E63E135">
            <w:pPr>
              <w:wordWrap w:val="0"/>
              <w:spacing w:line="360" w:lineRule="auto"/>
              <w:jc w:val="center"/>
              <w:textAlignment w:val="baseline"/>
              <w:rPr>
                <w:rFonts w:hint="eastAsia" w:ascii="宋体" w:hAnsi="宋体" w:cs="宋体"/>
                <w:b/>
                <w:szCs w:val="21"/>
              </w:rPr>
            </w:pPr>
            <w:r>
              <w:rPr>
                <w:rFonts w:hint="eastAsia" w:ascii="宋体" w:hAnsi="宋体" w:cs="宋体"/>
                <w:b/>
                <w:szCs w:val="21"/>
              </w:rPr>
              <w:t>1分标、3分标</w:t>
            </w:r>
          </w:p>
        </w:tc>
      </w:tr>
      <w:tr w14:paraId="1531F0BB">
        <w:tblPrEx>
          <w:tblCellMar>
            <w:top w:w="0" w:type="dxa"/>
            <w:left w:w="108" w:type="dxa"/>
            <w:bottom w:w="0" w:type="dxa"/>
            <w:right w:w="108" w:type="dxa"/>
          </w:tblCellMar>
        </w:tblPrEx>
        <w:trPr>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0D6EB33E">
            <w:pPr>
              <w:wordWrap w:val="0"/>
              <w:spacing w:line="360" w:lineRule="auto"/>
              <w:jc w:val="center"/>
              <w:textAlignment w:val="baseline"/>
              <w:rPr>
                <w:rFonts w:hint="eastAsia" w:ascii="宋体" w:hAnsi="宋体" w:cs="宋体"/>
                <w:szCs w:val="21"/>
              </w:rPr>
            </w:pPr>
            <w:r>
              <w:rPr>
                <w:rFonts w:hint="eastAsia" w:ascii="宋体" w:hAnsi="宋体" w:cs="宋体"/>
                <w:b/>
                <w:szCs w:val="21"/>
              </w:rPr>
              <w:t>序号</w:t>
            </w:r>
          </w:p>
        </w:tc>
        <w:tc>
          <w:tcPr>
            <w:tcW w:w="1270"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6ADF0F7D">
            <w:pPr>
              <w:wordWrap w:val="0"/>
              <w:spacing w:line="360" w:lineRule="auto"/>
              <w:jc w:val="center"/>
              <w:textAlignment w:val="baseline"/>
              <w:rPr>
                <w:rFonts w:hint="eastAsia" w:ascii="宋体" w:hAnsi="宋体" w:cs="宋体"/>
                <w:b/>
                <w:szCs w:val="21"/>
              </w:rPr>
            </w:pPr>
            <w:r>
              <w:rPr>
                <w:rFonts w:hint="eastAsia" w:ascii="宋体" w:hAnsi="宋体" w:cs="宋体"/>
                <w:b/>
                <w:szCs w:val="21"/>
              </w:rPr>
              <w:t>评审事项</w:t>
            </w:r>
          </w:p>
        </w:tc>
        <w:tc>
          <w:tcPr>
            <w:tcW w:w="1165"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0A621092">
            <w:pPr>
              <w:wordWrap w:val="0"/>
              <w:spacing w:line="360" w:lineRule="auto"/>
              <w:jc w:val="center"/>
              <w:textAlignment w:val="baseline"/>
              <w:rPr>
                <w:rFonts w:hint="eastAsia" w:ascii="宋体" w:hAnsi="宋体" w:cs="宋体"/>
                <w:szCs w:val="21"/>
              </w:rPr>
            </w:pPr>
            <w:r>
              <w:rPr>
                <w:rFonts w:hint="eastAsia" w:ascii="宋体" w:hAnsi="宋体" w:cs="宋体"/>
                <w:b/>
                <w:szCs w:val="21"/>
              </w:rPr>
              <w:t>评审因素</w:t>
            </w:r>
          </w:p>
        </w:tc>
        <w:tc>
          <w:tcPr>
            <w:tcW w:w="7187"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6F2262B7">
            <w:pPr>
              <w:wordWrap w:val="0"/>
              <w:spacing w:line="360" w:lineRule="auto"/>
              <w:jc w:val="center"/>
              <w:textAlignment w:val="baseline"/>
              <w:rPr>
                <w:rFonts w:hint="eastAsia" w:ascii="宋体" w:hAnsi="宋体" w:cs="宋体"/>
                <w:szCs w:val="21"/>
              </w:rPr>
            </w:pPr>
            <w:r>
              <w:rPr>
                <w:rFonts w:hint="eastAsia" w:ascii="宋体" w:hAnsi="宋体" w:cs="宋体"/>
                <w:b/>
                <w:szCs w:val="21"/>
              </w:rPr>
              <w:t>评标标准</w:t>
            </w:r>
          </w:p>
        </w:tc>
      </w:tr>
      <w:tr w14:paraId="72D35099">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37ECFF4A">
            <w:pPr>
              <w:wordWrap w:val="0"/>
              <w:spacing w:line="360" w:lineRule="auto"/>
              <w:jc w:val="center"/>
              <w:textAlignment w:val="baseline"/>
              <w:rPr>
                <w:rFonts w:hint="eastAsia" w:ascii="宋体" w:hAnsi="宋体" w:cs="宋体"/>
                <w:bCs/>
                <w:szCs w:val="21"/>
              </w:rPr>
            </w:pPr>
            <w:r>
              <w:rPr>
                <w:rFonts w:hint="eastAsia" w:ascii="宋体" w:hAnsi="宋体" w:cs="宋体"/>
                <w:bCs/>
                <w:szCs w:val="21"/>
              </w:rPr>
              <w:t>1</w:t>
            </w:r>
          </w:p>
        </w:tc>
        <w:tc>
          <w:tcPr>
            <w:tcW w:w="1270" w:type="dxa"/>
            <w:tcBorders>
              <w:top w:val="single" w:color="auto" w:sz="4" w:space="0"/>
              <w:left w:val="nil"/>
              <w:bottom w:val="single" w:color="auto" w:sz="4" w:space="0"/>
              <w:right w:val="single" w:color="auto" w:sz="4" w:space="0"/>
            </w:tcBorders>
            <w:vAlign w:val="center"/>
          </w:tcPr>
          <w:p w14:paraId="1A0A8D0E">
            <w:pPr>
              <w:wordWrap w:val="0"/>
              <w:spacing w:line="360" w:lineRule="auto"/>
              <w:jc w:val="center"/>
              <w:textAlignment w:val="baseline"/>
              <w:rPr>
                <w:rFonts w:hint="eastAsia" w:ascii="宋体" w:hAnsi="宋体" w:cs="宋体"/>
                <w:bCs/>
                <w:szCs w:val="21"/>
              </w:rPr>
            </w:pPr>
            <w:r>
              <w:rPr>
                <w:rFonts w:hint="eastAsia" w:ascii="宋体" w:hAnsi="宋体" w:cs="宋体"/>
                <w:bCs/>
                <w:szCs w:val="21"/>
              </w:rPr>
              <w:t>价格分</w:t>
            </w:r>
          </w:p>
          <w:p w14:paraId="21D21D64">
            <w:pPr>
              <w:wordWrap w:val="0"/>
              <w:spacing w:line="360" w:lineRule="auto"/>
              <w:jc w:val="left"/>
              <w:textAlignment w:val="baseline"/>
              <w:rPr>
                <w:rFonts w:hint="eastAsia" w:ascii="宋体" w:hAnsi="宋体" w:cs="宋体"/>
                <w:bCs/>
                <w:szCs w:val="21"/>
              </w:rPr>
            </w:pPr>
            <w:r>
              <w:rPr>
                <w:rFonts w:hint="eastAsia" w:ascii="宋体" w:hAnsi="宋体" w:cs="宋体"/>
                <w:bCs/>
                <w:szCs w:val="21"/>
              </w:rPr>
              <w:t>（满分</w:t>
            </w:r>
            <w:r>
              <w:rPr>
                <w:rFonts w:hint="eastAsia" w:ascii="宋体" w:hAnsi="宋体" w:cs="宋体"/>
                <w:bCs/>
                <w:szCs w:val="21"/>
                <w:u w:val="single"/>
              </w:rPr>
              <w:t>30</w:t>
            </w:r>
            <w:r>
              <w:rPr>
                <w:rFonts w:hint="eastAsia" w:ascii="宋体" w:hAnsi="宋体" w:cs="宋体"/>
                <w:bCs/>
                <w:szCs w:val="21"/>
              </w:rPr>
              <w:t>分）</w:t>
            </w:r>
          </w:p>
        </w:tc>
        <w:tc>
          <w:tcPr>
            <w:tcW w:w="1165" w:type="dxa"/>
            <w:tcBorders>
              <w:top w:val="single" w:color="auto" w:sz="4" w:space="0"/>
              <w:left w:val="nil"/>
              <w:bottom w:val="single" w:color="auto" w:sz="4" w:space="0"/>
              <w:right w:val="single" w:color="auto" w:sz="4" w:space="0"/>
            </w:tcBorders>
            <w:vAlign w:val="center"/>
          </w:tcPr>
          <w:p w14:paraId="14BE4DDD">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投标报价</w:t>
            </w:r>
          </w:p>
        </w:tc>
        <w:tc>
          <w:tcPr>
            <w:tcW w:w="7187" w:type="dxa"/>
            <w:tcBorders>
              <w:top w:val="single" w:color="auto" w:sz="4" w:space="0"/>
              <w:left w:val="nil"/>
              <w:bottom w:val="single" w:color="auto" w:sz="4" w:space="0"/>
              <w:right w:val="single" w:color="auto" w:sz="4" w:space="0"/>
            </w:tcBorders>
            <w:vAlign w:val="center"/>
          </w:tcPr>
          <w:p w14:paraId="63BDC42A">
            <w:pPr>
              <w:spacing w:line="560" w:lineRule="exact"/>
              <w:jc w:val="left"/>
              <w:rPr>
                <w:rFonts w:ascii="Arial" w:hAnsi="Arial" w:cs="Arial"/>
                <w:kern w:val="0"/>
                <w:szCs w:val="21"/>
              </w:rPr>
            </w:pPr>
            <w:r>
              <w:rPr>
                <w:rFonts w:hint="eastAsia" w:ascii="Arial" w:hAnsi="Arial" w:cs="Arial"/>
                <w:kern w:val="0"/>
                <w:szCs w:val="21"/>
              </w:rPr>
              <w:t>1.</w:t>
            </w:r>
            <w:r>
              <w:rPr>
                <w:rFonts w:ascii="Arial" w:hAnsi="Arial" w:cs="Arial"/>
                <w:b/>
                <w:bCs/>
                <w:kern w:val="0"/>
                <w:szCs w:val="21"/>
              </w:rPr>
              <w:t>专门面向</w:t>
            </w:r>
            <w:r>
              <w:rPr>
                <w:rFonts w:hint="eastAsia" w:ascii="Arial" w:hAnsi="Arial" w:cs="Arial"/>
                <w:b/>
                <w:bCs/>
                <w:kern w:val="0"/>
                <w:szCs w:val="21"/>
              </w:rPr>
              <w:t>小微</w:t>
            </w:r>
            <w:r>
              <w:rPr>
                <w:rFonts w:ascii="Arial" w:hAnsi="Arial" w:cs="Arial"/>
                <w:b/>
                <w:bCs/>
                <w:kern w:val="0"/>
                <w:szCs w:val="21"/>
              </w:rPr>
              <w:t>企业采购的项目或者采购包，不再执行价格评审优惠的扶持政策。</w:t>
            </w:r>
          </w:p>
          <w:p w14:paraId="021B77E5">
            <w:pPr>
              <w:spacing w:line="560" w:lineRule="exact"/>
              <w:jc w:val="left"/>
              <w:rPr>
                <w:rFonts w:hint="eastAsia" w:hAnsi="宋体" w:cs="宋体"/>
              </w:rPr>
            </w:pPr>
            <w:r>
              <w:rPr>
                <w:rFonts w:hint="eastAsia" w:ascii="Arial" w:hAnsi="Arial" w:cs="Arial"/>
                <w:kern w:val="0"/>
                <w:szCs w:val="21"/>
              </w:rPr>
              <w:t>2.以进入比较与评价环节的最低的投标报价为基准价，基准价得分为30分。3.价格分计算公式：报价得分=（基准价/供应商投标报价）×30分</w:t>
            </w:r>
          </w:p>
        </w:tc>
      </w:tr>
      <w:tr w14:paraId="339742AC">
        <w:tblPrEx>
          <w:tblCellMar>
            <w:top w:w="0" w:type="dxa"/>
            <w:left w:w="108" w:type="dxa"/>
            <w:bottom w:w="0" w:type="dxa"/>
            <w:right w:w="108" w:type="dxa"/>
          </w:tblCellMar>
        </w:tblPrEx>
        <w:trPr>
          <w:trHeight w:val="90"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2FC7F792">
            <w:pPr>
              <w:wordWrap w:val="0"/>
              <w:spacing w:line="360" w:lineRule="auto"/>
              <w:jc w:val="center"/>
              <w:textAlignment w:val="baseline"/>
              <w:rPr>
                <w:rFonts w:hint="eastAsia" w:ascii="宋体" w:hAnsi="宋体" w:cs="宋体"/>
                <w:b/>
                <w:szCs w:val="21"/>
              </w:rPr>
            </w:pPr>
            <w:r>
              <w:rPr>
                <w:rFonts w:hint="eastAsia" w:ascii="宋体" w:hAnsi="宋体" w:cs="宋体"/>
                <w:b/>
                <w:szCs w:val="21"/>
              </w:rPr>
              <w:t>2</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25715B81">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技术分</w:t>
            </w:r>
          </w:p>
          <w:p w14:paraId="08D037F0">
            <w:pPr>
              <w:wordWrap w:val="0"/>
              <w:spacing w:line="360" w:lineRule="auto"/>
              <w:jc w:val="center"/>
              <w:textAlignment w:val="baseline"/>
              <w:rPr>
                <w:rFonts w:hint="eastAsia" w:ascii="宋体" w:hAnsi="宋体" w:cs="宋体"/>
                <w:spacing w:val="-18"/>
                <w:szCs w:val="21"/>
              </w:rPr>
            </w:pPr>
            <w:r>
              <w:rPr>
                <w:rFonts w:hint="eastAsia" w:ascii="宋体" w:hAnsi="宋体" w:cs="宋体"/>
                <w:bCs/>
                <w:szCs w:val="21"/>
              </w:rPr>
              <w:t>（满分54分）</w:t>
            </w:r>
          </w:p>
        </w:tc>
        <w:tc>
          <w:tcPr>
            <w:tcW w:w="1165" w:type="dxa"/>
            <w:tcBorders>
              <w:top w:val="single" w:color="auto" w:sz="4" w:space="0"/>
              <w:left w:val="nil"/>
              <w:bottom w:val="single" w:color="auto" w:sz="4" w:space="0"/>
              <w:right w:val="single" w:color="auto" w:sz="4" w:space="0"/>
            </w:tcBorders>
            <w:vAlign w:val="center"/>
          </w:tcPr>
          <w:p w14:paraId="36FE9E05">
            <w:pPr>
              <w:wordWrap w:val="0"/>
              <w:spacing w:line="360" w:lineRule="auto"/>
              <w:jc w:val="center"/>
              <w:textAlignment w:val="baseline"/>
              <w:rPr>
                <w:rFonts w:hint="eastAsia" w:ascii="宋体" w:hAnsi="宋体" w:cs="宋体"/>
                <w:szCs w:val="21"/>
              </w:rPr>
            </w:pPr>
            <w:r>
              <w:rPr>
                <w:rFonts w:hint="eastAsia" w:ascii="宋体" w:hAnsi="宋体" w:cs="宋体"/>
                <w:szCs w:val="21"/>
              </w:rPr>
              <w:t>2.1</w:t>
            </w:r>
            <w:r>
              <w:rPr>
                <w:rFonts w:hint="eastAsia"/>
                <w:szCs w:val="21"/>
              </w:rPr>
              <w:t>货物</w:t>
            </w:r>
            <w:r>
              <w:rPr>
                <w:szCs w:val="21"/>
              </w:rPr>
              <w:t>性能分（满分</w:t>
            </w:r>
            <w:r>
              <w:rPr>
                <w:rFonts w:hint="eastAsia"/>
                <w:szCs w:val="21"/>
              </w:rPr>
              <w:t>25</w:t>
            </w:r>
            <w:r>
              <w:rPr>
                <w:szCs w:val="21"/>
              </w:rPr>
              <w:t>分）</w:t>
            </w:r>
          </w:p>
        </w:tc>
        <w:tc>
          <w:tcPr>
            <w:tcW w:w="7187" w:type="dxa"/>
            <w:tcBorders>
              <w:top w:val="single" w:color="auto" w:sz="4" w:space="0"/>
              <w:left w:val="nil"/>
              <w:bottom w:val="single" w:color="auto" w:sz="4" w:space="0"/>
              <w:right w:val="single" w:color="auto" w:sz="4" w:space="0"/>
            </w:tcBorders>
            <w:vAlign w:val="center"/>
          </w:tcPr>
          <w:p w14:paraId="6101099F">
            <w:pPr>
              <w:wordWrap w:val="0"/>
              <w:spacing w:line="360" w:lineRule="auto"/>
              <w:rPr>
                <w:rFonts w:hint="eastAsia" w:ascii="宋体" w:hAnsi="宋体" w:cs="宋体"/>
                <w:kern w:val="0"/>
                <w:szCs w:val="21"/>
              </w:rPr>
            </w:pPr>
            <w:r>
              <w:rPr>
                <w:rFonts w:hint="eastAsia" w:ascii="宋体" w:hAnsi="宋体" w:cs="宋体"/>
                <w:kern w:val="0"/>
                <w:szCs w:val="21"/>
              </w:rPr>
              <w:t>1.完全满足招标文件要求得基本分5分，如有一般参数及功能（未标▲号）负偏离一项扣1分，漏项的每一项扣2分，最多扣完本项分值（在招标文件允许偏离的项数内）；</w:t>
            </w:r>
          </w:p>
          <w:p w14:paraId="7FDAF080">
            <w:pPr>
              <w:wordWrap w:val="0"/>
              <w:spacing w:line="360" w:lineRule="auto"/>
              <w:rPr>
                <w:rFonts w:hint="eastAsia" w:ascii="宋体" w:hAnsi="宋体" w:cs="宋体"/>
                <w:kern w:val="0"/>
                <w:szCs w:val="21"/>
              </w:rPr>
            </w:pPr>
            <w:r>
              <w:rPr>
                <w:rFonts w:hint="eastAsia" w:ascii="宋体" w:hAnsi="宋体" w:cs="宋体"/>
                <w:kern w:val="0"/>
                <w:szCs w:val="21"/>
              </w:rPr>
              <w:t>2.实质性参数及功能（标▲号）：有优于招标文件要求且评标时被评标委员会接受的，每优于一项加2分。满分10分</w:t>
            </w:r>
          </w:p>
          <w:p w14:paraId="0D49533E">
            <w:pPr>
              <w:wordWrap w:val="0"/>
              <w:spacing w:line="360" w:lineRule="auto"/>
              <w:rPr>
                <w:rFonts w:hint="eastAsia" w:ascii="宋体" w:hAnsi="宋体" w:cs="宋体"/>
                <w:kern w:val="0"/>
                <w:szCs w:val="21"/>
              </w:rPr>
            </w:pPr>
            <w:r>
              <w:rPr>
                <w:rFonts w:hint="eastAsia" w:ascii="宋体" w:hAnsi="宋体" w:cs="宋体"/>
                <w:kern w:val="0"/>
                <w:szCs w:val="21"/>
              </w:rPr>
              <w:t>3.一般参数及功能（未标▲号）：有优于招标文件要求且评标时被评标委员会接受的，每优于一项加1分。满分10分</w:t>
            </w:r>
          </w:p>
          <w:p w14:paraId="510B2500">
            <w:pPr>
              <w:wordWrap w:val="0"/>
              <w:spacing w:line="360" w:lineRule="auto"/>
              <w:rPr>
                <w:rFonts w:hint="eastAsia" w:ascii="宋体" w:hAnsi="宋体" w:cs="宋体"/>
                <w:spacing w:val="-6"/>
                <w:szCs w:val="21"/>
              </w:rPr>
            </w:pPr>
            <w:r>
              <w:rPr>
                <w:rFonts w:hint="eastAsia" w:ascii="宋体" w:hAnsi="宋体" w:cs="宋体"/>
                <w:kern w:val="0"/>
                <w:szCs w:val="21"/>
              </w:rPr>
              <w:t>注：投标参数及功能有优于的，投标人须在投标文件中提供投标产品的彩页或第三方检测报告复印件或产品生产厂家出具的技术参数说明（</w:t>
            </w:r>
            <w:r>
              <w:rPr>
                <w:rFonts w:hint="eastAsia" w:ascii="宋体" w:hAnsi="宋体"/>
                <w:b/>
                <w:bCs/>
                <w:szCs w:val="21"/>
              </w:rPr>
              <w:t>分项货物有要求投标时提供对应证明材料复印件并加盖供应商CA签章的按分项要求提供</w:t>
            </w:r>
            <w:r>
              <w:rPr>
                <w:rFonts w:hint="eastAsia" w:ascii="宋体" w:hAnsi="宋体" w:cs="宋体"/>
                <w:kern w:val="0"/>
                <w:szCs w:val="21"/>
              </w:rPr>
              <w:t>）等证明材料作为佐证。</w:t>
            </w:r>
          </w:p>
        </w:tc>
      </w:tr>
      <w:tr w14:paraId="66AC9A0B">
        <w:tblPrEx>
          <w:tblCellMar>
            <w:top w:w="0" w:type="dxa"/>
            <w:left w:w="108" w:type="dxa"/>
            <w:bottom w:w="0" w:type="dxa"/>
            <w:right w:w="108" w:type="dxa"/>
          </w:tblCellMar>
        </w:tblPrEx>
        <w:trPr>
          <w:trHeight w:val="1032"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4CE599E0">
            <w:pPr>
              <w:wordWrap w:val="0"/>
              <w:spacing w:line="360" w:lineRule="auto"/>
              <w:jc w:val="center"/>
              <w:textAlignment w:val="baseline"/>
              <w:rPr>
                <w:rFonts w:hint="eastAsia" w:ascii="宋体" w:hAnsi="宋体" w:cs="宋体"/>
                <w:b/>
                <w:szCs w:val="21"/>
              </w:rPr>
            </w:pPr>
          </w:p>
        </w:tc>
        <w:tc>
          <w:tcPr>
            <w:tcW w:w="1270" w:type="dxa"/>
            <w:vMerge w:val="continue"/>
            <w:tcBorders>
              <w:top w:val="single" w:color="auto" w:sz="4" w:space="0"/>
              <w:left w:val="nil"/>
              <w:bottom w:val="single" w:color="auto" w:sz="4" w:space="0"/>
              <w:right w:val="single" w:color="auto" w:sz="4" w:space="0"/>
            </w:tcBorders>
            <w:vAlign w:val="center"/>
          </w:tcPr>
          <w:p w14:paraId="1F4CF49A">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665083B2">
            <w:pPr>
              <w:adjustRightInd w:val="0"/>
              <w:spacing w:line="360" w:lineRule="exact"/>
              <w:jc w:val="center"/>
              <w:textAlignment w:val="baseline"/>
              <w:rPr>
                <w:bCs/>
              </w:rPr>
            </w:pPr>
            <w:r>
              <w:rPr>
                <w:rFonts w:hint="eastAsia" w:ascii="宋体" w:hAnsi="宋体" w:cs="宋体"/>
                <w:szCs w:val="21"/>
              </w:rPr>
              <w:t>2.2项目实施方案</w:t>
            </w:r>
          </w:p>
          <w:p w14:paraId="39D93601">
            <w:pPr>
              <w:wordWrap w:val="0"/>
              <w:spacing w:line="360" w:lineRule="auto"/>
              <w:jc w:val="center"/>
              <w:textAlignment w:val="baseline"/>
              <w:rPr>
                <w:rFonts w:hint="eastAsia" w:ascii="宋体" w:hAnsi="宋体" w:cs="宋体"/>
                <w:szCs w:val="21"/>
              </w:rPr>
            </w:pPr>
            <w:r>
              <w:rPr>
                <w:rFonts w:hint="eastAsia"/>
                <w:bCs/>
              </w:rPr>
              <w:t>（</w:t>
            </w:r>
            <w:r>
              <w:rPr>
                <w:rFonts w:hint="eastAsia" w:hAnsi="宋体"/>
                <w:szCs w:val="21"/>
              </w:rPr>
              <w:t>满分20</w:t>
            </w:r>
            <w:r>
              <w:rPr>
                <w:rFonts w:hint="eastAsia"/>
                <w:bCs/>
              </w:rPr>
              <w:t>分）</w:t>
            </w:r>
          </w:p>
        </w:tc>
        <w:tc>
          <w:tcPr>
            <w:tcW w:w="7187" w:type="dxa"/>
            <w:tcBorders>
              <w:top w:val="single" w:color="auto" w:sz="4" w:space="0"/>
              <w:left w:val="single" w:color="auto" w:sz="4" w:space="0"/>
              <w:bottom w:val="single" w:color="auto" w:sz="4" w:space="0"/>
              <w:right w:val="single" w:color="auto" w:sz="4" w:space="0"/>
            </w:tcBorders>
            <w:vAlign w:val="center"/>
          </w:tcPr>
          <w:p w14:paraId="5CF9A53E">
            <w:pPr>
              <w:widowControl/>
              <w:spacing w:line="400" w:lineRule="exact"/>
              <w:ind w:firstLine="420" w:firstLineChars="200"/>
              <w:rPr>
                <w:rFonts w:hint="eastAsia" w:ascii="宋体" w:hAnsi="宋体" w:cs="宋体"/>
                <w:szCs w:val="21"/>
              </w:rPr>
            </w:pPr>
            <w:r>
              <w:rPr>
                <w:rFonts w:hint="eastAsia" w:ascii="宋体" w:hAnsi="宋体" w:cs="宋体"/>
                <w:szCs w:val="21"/>
              </w:rPr>
              <w:t>由评委根据招标文件要求及投标人的投标文件中的货物包装、发运及运输、配送方案，项目安装、调试、验收计划方案，确保质量及交付期的组织方案，人力资源和技术力量安排，技术服务、技术培训的内容和措施，提供本项目的针对性方案等内容进行评审，独立打分。提供的项目实施方案不能满足项目实施要求的不得分。</w:t>
            </w:r>
          </w:p>
          <w:p w14:paraId="70453667">
            <w:pPr>
              <w:widowControl/>
              <w:spacing w:line="400" w:lineRule="exact"/>
              <w:ind w:firstLine="420" w:firstLineChars="200"/>
              <w:rPr>
                <w:rFonts w:hint="eastAsia" w:ascii="宋体" w:hAnsi="宋体" w:cs="宋体"/>
                <w:szCs w:val="21"/>
              </w:rPr>
            </w:pPr>
            <w:r>
              <w:rPr>
                <w:rFonts w:hint="eastAsia" w:ascii="宋体" w:hAnsi="宋体" w:cs="宋体"/>
                <w:szCs w:val="21"/>
              </w:rPr>
              <w:t>一档（5分）：项目实施方案较简单、内容有欠缺，基本满足项目实施要求。</w:t>
            </w:r>
          </w:p>
          <w:p w14:paraId="2A45096D">
            <w:pPr>
              <w:widowControl/>
              <w:spacing w:line="400" w:lineRule="exact"/>
              <w:ind w:firstLine="420" w:firstLineChars="200"/>
              <w:rPr>
                <w:rFonts w:hint="eastAsia" w:ascii="宋体" w:hAnsi="宋体" w:cs="宋体"/>
                <w:szCs w:val="21"/>
              </w:rPr>
            </w:pPr>
            <w:r>
              <w:rPr>
                <w:rFonts w:hint="eastAsia" w:ascii="宋体" w:hAnsi="宋体" w:cs="宋体"/>
                <w:szCs w:val="21"/>
              </w:rPr>
              <w:t>二档（10分）；项目实施方案可行，项目实施计划、组织方案较完整较周全，拟投入的人力资源和技术力量满足项目实施需要，技术服务、技术培训的内容完整、措施可行。</w:t>
            </w:r>
          </w:p>
          <w:p w14:paraId="358765C0">
            <w:pPr>
              <w:widowControl/>
              <w:spacing w:line="400" w:lineRule="exact"/>
              <w:ind w:firstLine="420" w:firstLineChars="200"/>
              <w:rPr>
                <w:rFonts w:hint="eastAsia" w:ascii="宋体" w:hAnsi="宋体" w:cs="宋体"/>
                <w:szCs w:val="21"/>
              </w:rPr>
            </w:pPr>
            <w:r>
              <w:rPr>
                <w:rFonts w:hint="eastAsia" w:ascii="宋体" w:hAnsi="宋体" w:cs="宋体"/>
                <w:szCs w:val="21"/>
              </w:rPr>
              <w:t>三档（15分）：项目实施方案详细、可行，有针对本项目的对接方案，项目实施计划、组织方案完整较周全，项目实施人员配备较合理、分工明确，技术服务的内容完整、具备较强操作性，能较好保障项目实施需要。</w:t>
            </w:r>
          </w:p>
          <w:p w14:paraId="265757B6">
            <w:pPr>
              <w:widowControl/>
              <w:spacing w:line="400" w:lineRule="exact"/>
              <w:ind w:firstLine="420" w:firstLineChars="200"/>
              <w:rPr>
                <w:rFonts w:hint="eastAsia" w:ascii="宋体" w:hAnsi="宋体" w:cs="宋体"/>
                <w:szCs w:val="21"/>
              </w:rPr>
            </w:pPr>
            <w:r>
              <w:rPr>
                <w:rFonts w:hint="eastAsia" w:ascii="宋体" w:hAnsi="宋体" w:cs="宋体"/>
                <w:szCs w:val="21"/>
              </w:rPr>
              <w:t>四档（20分）：项目实施方案详实、切合本项目实际，有针对本项目的对接方案，项目实施计划、组织方案完整周全，组织机构健全，实施流程合理，项目实施人员配备充足、分工合理明确，技术服务的内容完整全面、方案完善、优化，很好保障项目实施需要。</w:t>
            </w:r>
          </w:p>
          <w:p w14:paraId="7FCC963D">
            <w:pPr>
              <w:spacing w:line="410" w:lineRule="exact"/>
              <w:ind w:firstLine="426" w:firstLineChars="202"/>
              <w:rPr>
                <w:rFonts w:hint="eastAsia" w:ascii="宋体" w:hAnsi="宋体" w:cs="宋体"/>
                <w:szCs w:val="21"/>
              </w:rPr>
            </w:pPr>
            <w:r>
              <w:rPr>
                <w:rFonts w:hint="eastAsia" w:ascii="宋体" w:hAnsi="宋体" w:cs="宋体"/>
                <w:b/>
                <w:bCs/>
                <w:szCs w:val="21"/>
              </w:rPr>
              <w:t>注：</w:t>
            </w:r>
            <w:r>
              <w:rPr>
                <w:rFonts w:hint="eastAsia" w:ascii="宋体" w:hAnsi="宋体" w:cs="宋体"/>
                <w:b/>
                <w:szCs w:val="21"/>
              </w:rPr>
              <w:t>未提供方案或提供的内容与本项目无关的得0分。</w:t>
            </w:r>
          </w:p>
        </w:tc>
      </w:tr>
      <w:tr w14:paraId="4EA8B55A">
        <w:tblPrEx>
          <w:tblCellMar>
            <w:top w:w="0" w:type="dxa"/>
            <w:left w:w="108" w:type="dxa"/>
            <w:bottom w:w="0" w:type="dxa"/>
            <w:right w:w="108" w:type="dxa"/>
          </w:tblCellMar>
        </w:tblPrEx>
        <w:trPr>
          <w:trHeight w:val="103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69E89D1">
            <w:pPr>
              <w:wordWrap w:val="0"/>
              <w:spacing w:line="360" w:lineRule="auto"/>
              <w:jc w:val="center"/>
              <w:textAlignment w:val="baseline"/>
              <w:rPr>
                <w:rFonts w:hint="eastAsia" w:ascii="宋体" w:hAnsi="宋体" w:cs="宋体"/>
                <w:b/>
                <w:szCs w:val="21"/>
              </w:rPr>
            </w:pPr>
          </w:p>
        </w:tc>
        <w:tc>
          <w:tcPr>
            <w:tcW w:w="1270" w:type="dxa"/>
            <w:tcBorders>
              <w:top w:val="single" w:color="auto" w:sz="4" w:space="0"/>
              <w:left w:val="nil"/>
              <w:bottom w:val="single" w:color="auto" w:sz="4" w:space="0"/>
              <w:right w:val="single" w:color="auto" w:sz="4" w:space="0"/>
            </w:tcBorders>
            <w:vAlign w:val="center"/>
          </w:tcPr>
          <w:p w14:paraId="0B19C709">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76F548E8">
            <w:pPr>
              <w:wordWrap w:val="0"/>
              <w:spacing w:line="360" w:lineRule="auto"/>
              <w:jc w:val="center"/>
              <w:textAlignment w:val="baseline"/>
              <w:rPr>
                <w:bCs/>
              </w:rPr>
            </w:pPr>
            <w:r>
              <w:rPr>
                <w:rFonts w:hint="eastAsia"/>
                <w:bCs/>
              </w:rPr>
              <w:t>2.3课程建设方案（满分9）</w:t>
            </w:r>
          </w:p>
        </w:tc>
        <w:tc>
          <w:tcPr>
            <w:tcW w:w="7187" w:type="dxa"/>
            <w:tcBorders>
              <w:top w:val="single" w:color="auto" w:sz="4" w:space="0"/>
              <w:left w:val="single" w:color="auto" w:sz="4" w:space="0"/>
              <w:bottom w:val="single" w:color="auto" w:sz="4" w:space="0"/>
              <w:right w:val="single" w:color="auto" w:sz="4" w:space="0"/>
            </w:tcBorders>
            <w:vAlign w:val="center"/>
          </w:tcPr>
          <w:p w14:paraId="3AFAE5AA">
            <w:pPr>
              <w:widowControl/>
              <w:spacing w:line="400" w:lineRule="exact"/>
              <w:ind w:firstLine="420" w:firstLineChars="200"/>
              <w:rPr>
                <w:rFonts w:hint="eastAsia" w:ascii="宋体" w:hAnsi="宋体" w:cs="宋体"/>
                <w:szCs w:val="21"/>
              </w:rPr>
            </w:pPr>
            <w:r>
              <w:rPr>
                <w:rFonts w:hint="eastAsia" w:ascii="宋体" w:hAnsi="宋体" w:cs="宋体"/>
                <w:szCs w:val="21"/>
              </w:rPr>
              <w:t>一档（3分）：课程建设方案满足采购需求，内容简单。</w:t>
            </w:r>
          </w:p>
          <w:p w14:paraId="46498E7D">
            <w:pPr>
              <w:widowControl/>
              <w:spacing w:line="400" w:lineRule="exact"/>
              <w:ind w:firstLine="420" w:firstLineChars="200"/>
              <w:rPr>
                <w:rFonts w:hint="eastAsia" w:ascii="宋体" w:hAnsi="宋体" w:cs="宋体"/>
                <w:szCs w:val="21"/>
              </w:rPr>
            </w:pPr>
            <w:r>
              <w:rPr>
                <w:rFonts w:hint="eastAsia" w:ascii="宋体" w:hAnsi="宋体" w:cs="宋体"/>
                <w:szCs w:val="21"/>
              </w:rPr>
              <w:t>二档（6分）：课程建设方案满足采购需求，有课程建设计划安排，课程建设课时次数能确保采购人能掌握基本操作技能，有专业的课程建设人员。</w:t>
            </w:r>
          </w:p>
          <w:p w14:paraId="0EEC2230">
            <w:pPr>
              <w:widowControl/>
              <w:spacing w:line="400" w:lineRule="exact"/>
              <w:ind w:firstLine="420" w:firstLineChars="200"/>
              <w:rPr>
                <w:rFonts w:hint="eastAsia" w:ascii="宋体" w:hAnsi="宋体" w:cs="宋体"/>
                <w:szCs w:val="21"/>
              </w:rPr>
            </w:pPr>
            <w:r>
              <w:rPr>
                <w:rFonts w:hint="eastAsia" w:ascii="宋体" w:hAnsi="宋体" w:cs="宋体"/>
                <w:szCs w:val="21"/>
              </w:rPr>
              <w:t xml:space="preserve">三档（9分）：课程建设的服务内容和措施完善，有专业的课程建设人员，课程建设方式兼顾远程、现场等方式，有详细的课程建设计划安排，课程建设内容全面详实，课程建设内容针对性强，课程建设课时充足。 </w:t>
            </w:r>
          </w:p>
          <w:p w14:paraId="13E83793">
            <w:pPr>
              <w:spacing w:line="410" w:lineRule="exact"/>
              <w:ind w:firstLine="426" w:firstLineChars="202"/>
              <w:rPr>
                <w:rFonts w:hint="eastAsia" w:ascii="宋体" w:hAnsi="宋体"/>
                <w:szCs w:val="21"/>
              </w:rPr>
            </w:pPr>
            <w:r>
              <w:rPr>
                <w:rFonts w:hint="eastAsia" w:ascii="宋体" w:hAnsi="宋体" w:cs="宋体"/>
                <w:b/>
                <w:bCs/>
                <w:szCs w:val="21"/>
              </w:rPr>
              <w:t>注：未提供方案或提供的内容与本项目无关的得0分。</w:t>
            </w:r>
          </w:p>
        </w:tc>
      </w:tr>
      <w:tr w14:paraId="06AB0815">
        <w:tblPrEx>
          <w:tblCellMar>
            <w:top w:w="0" w:type="dxa"/>
            <w:left w:w="108" w:type="dxa"/>
            <w:bottom w:w="0" w:type="dxa"/>
            <w:right w:w="108" w:type="dxa"/>
          </w:tblCellMar>
        </w:tblPrEx>
        <w:trPr>
          <w:trHeight w:val="416"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39422B51">
            <w:pPr>
              <w:wordWrap w:val="0"/>
              <w:spacing w:line="360" w:lineRule="auto"/>
              <w:jc w:val="center"/>
              <w:rPr>
                <w:rFonts w:hint="eastAsia" w:ascii="宋体" w:hAnsi="宋体" w:cs="宋体"/>
                <w:b/>
                <w:szCs w:val="21"/>
              </w:rPr>
            </w:pPr>
            <w:r>
              <w:rPr>
                <w:rFonts w:hint="eastAsia" w:ascii="宋体" w:hAnsi="宋体" w:cs="宋体"/>
                <w:b/>
                <w:szCs w:val="21"/>
              </w:rPr>
              <w:t>3</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3A84924D">
            <w:pPr>
              <w:wordWrap w:val="0"/>
              <w:spacing w:line="360" w:lineRule="auto"/>
              <w:jc w:val="center"/>
              <w:rPr>
                <w:rFonts w:hint="eastAsia" w:ascii="宋体" w:hAnsi="宋体" w:cs="宋体"/>
                <w:szCs w:val="21"/>
              </w:rPr>
            </w:pPr>
            <w:r>
              <w:rPr>
                <w:rFonts w:hint="eastAsia" w:ascii="宋体" w:hAnsi="宋体" w:cs="宋体"/>
                <w:szCs w:val="21"/>
              </w:rPr>
              <w:t>商务分（16分）</w:t>
            </w: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AED5F94">
            <w:pPr>
              <w:pStyle w:val="11"/>
              <w:wordWrap w:val="0"/>
              <w:spacing w:line="360" w:lineRule="auto"/>
              <w:jc w:val="center"/>
              <w:rPr>
                <w:rFonts w:hint="eastAsia" w:hAnsi="宋体" w:cs="宋体"/>
              </w:rPr>
            </w:pPr>
            <w:r>
              <w:rPr>
                <w:rFonts w:hint="eastAsia" w:hAnsi="宋体" w:cs="宋体"/>
              </w:rPr>
              <w:t>3.1售后服务分</w:t>
            </w:r>
          </w:p>
          <w:p w14:paraId="4F786ECE">
            <w:pPr>
              <w:pStyle w:val="11"/>
              <w:wordWrap w:val="0"/>
              <w:spacing w:line="360" w:lineRule="auto"/>
              <w:jc w:val="center"/>
              <w:rPr>
                <w:rFonts w:hint="eastAsia" w:hAnsi="宋体" w:cs="宋体"/>
              </w:rPr>
            </w:pPr>
            <w:r>
              <w:rPr>
                <w:rFonts w:hint="eastAsia" w:hAnsi="宋体" w:cs="宋体"/>
              </w:rPr>
              <w:t>（满分9分）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A3FBDF6">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根据投标人提供的售后服务方案的内容(包含但不限于：到达故障现场时间、故障出现解决方案，定期维护(注明时间)、技术培训方案、质保期外维修方案、本地化售后服务措施、其它优惠方案等方面) 由评委在相应的档次内独立打分。</w:t>
            </w:r>
          </w:p>
          <w:p w14:paraId="5A675A23">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一档（3分）：售后服务方案内容完全满足招标文件售后服务要求；</w:t>
            </w:r>
          </w:p>
          <w:p w14:paraId="49F9CD67">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二档（6分）：在满足招标文件的基础上，应急服务方案、故障维护方案较详细；能实现2小时内专业人员到达现场修理，一般故障处理时限不超过8小时，重大故障处理时限不超过24小时修复；对设备在使用过程中可能出现的问题进行分析并提出针对性解决办法，分别针对产品软件和硬件提出明确的质保期内和质保期外的售后承诺和措施；</w:t>
            </w:r>
          </w:p>
          <w:p w14:paraId="0F49B659">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三档（9分）：售后服务方案优于招标文件要求，服务内容、保障措施完善、有针对性；有详尽的培训方案、应急保障方案和服务响应体系，定期回访维护，保修期外零配件优惠；具有完整可靠的售后服务团队，售后服务人员经验丰富，能实现1小时内专业人员到达现场修理，一般故障处理时限不超过4小时，重大故障处理时限不超过12小时修复，无法排除故障时2日内提供替换产品；运维工作7×24小时响应，定期回访一年不少于2次，售后服务维修人员不少于2人，并提供有联系电话。</w:t>
            </w:r>
          </w:p>
          <w:p w14:paraId="19E52437">
            <w:pPr>
              <w:ind w:firstLine="422" w:firstLineChars="200"/>
            </w:pPr>
            <w:r>
              <w:rPr>
                <w:rFonts w:hint="eastAsia" w:ascii="宋体" w:hAnsi="宋体" w:cs="宋体"/>
                <w:b/>
                <w:bCs/>
                <w:szCs w:val="21"/>
              </w:rPr>
              <w:t>注：未提供方案或提供的内容与本项目无关的得0分。</w:t>
            </w:r>
          </w:p>
        </w:tc>
      </w:tr>
      <w:tr w14:paraId="7233140C">
        <w:tblPrEx>
          <w:tblCellMar>
            <w:top w:w="0" w:type="dxa"/>
            <w:left w:w="108" w:type="dxa"/>
            <w:bottom w:w="0" w:type="dxa"/>
            <w:right w:w="108" w:type="dxa"/>
          </w:tblCellMar>
        </w:tblPrEx>
        <w:trPr>
          <w:trHeight w:val="4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6A61C6A6">
            <w:pPr>
              <w:wordWrap w:val="0"/>
              <w:spacing w:line="360" w:lineRule="auto"/>
              <w:rPr>
                <w:rFonts w:hint="eastAsia"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440EB0E9">
            <w:pPr>
              <w:wordWrap w:val="0"/>
              <w:spacing w:line="360" w:lineRule="auto"/>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2A5B5FC">
            <w:pPr>
              <w:pStyle w:val="11"/>
              <w:wordWrap w:val="0"/>
              <w:spacing w:line="360" w:lineRule="auto"/>
              <w:jc w:val="center"/>
              <w:rPr>
                <w:rFonts w:hint="eastAsia" w:hAnsi="宋体" w:cs="宋体"/>
              </w:rPr>
            </w:pPr>
            <w:r>
              <w:rPr>
                <w:rFonts w:hint="eastAsia" w:hAnsi="宋体" w:cs="宋体"/>
              </w:rPr>
              <w:t>3.2业绩分（满分5分）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A434822">
            <w:pPr>
              <w:pStyle w:val="3"/>
              <w:keepNext w:val="0"/>
              <w:keepLines w:val="0"/>
              <w:wordWrap w:val="0"/>
              <w:spacing w:before="0" w:after="0" w:line="360" w:lineRule="auto"/>
              <w:rPr>
                <w:rFonts w:hint="eastAsia" w:hAnsi="宋体" w:cs="宋体"/>
                <w:sz w:val="21"/>
              </w:rPr>
            </w:pPr>
            <w:r>
              <w:rPr>
                <w:rFonts w:hint="eastAsia" w:ascii="宋体" w:hAnsi="宋体" w:eastAsia="宋体" w:cs="宋体"/>
                <w:b w:val="0"/>
                <w:sz w:val="21"/>
                <w:szCs w:val="21"/>
              </w:rPr>
              <w:t>投标人自2021年6月1日以来具有同类项目业绩的，以合同或中标（成交）通知书复印件为准，每份得1分，满分5分。</w:t>
            </w:r>
          </w:p>
        </w:tc>
      </w:tr>
      <w:tr w14:paraId="19701985">
        <w:tblPrEx>
          <w:tblCellMar>
            <w:top w:w="0" w:type="dxa"/>
            <w:left w:w="108" w:type="dxa"/>
            <w:bottom w:w="0" w:type="dxa"/>
            <w:right w:w="108" w:type="dxa"/>
          </w:tblCellMar>
        </w:tblPrEx>
        <w:trPr>
          <w:trHeight w:val="4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2C94FD15">
            <w:pPr>
              <w:wordWrap w:val="0"/>
              <w:spacing w:line="360" w:lineRule="auto"/>
              <w:rPr>
                <w:rFonts w:hint="eastAsia"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6ABDD7AF">
            <w:pPr>
              <w:wordWrap w:val="0"/>
              <w:spacing w:line="360" w:lineRule="auto"/>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1008323D">
            <w:pPr>
              <w:wordWrap w:val="0"/>
              <w:spacing w:line="360" w:lineRule="auto"/>
              <w:jc w:val="center"/>
              <w:rPr>
                <w:rFonts w:hint="eastAsia" w:ascii="宋体" w:hAnsi="宋体" w:cs="宋体"/>
                <w:szCs w:val="21"/>
              </w:rPr>
            </w:pPr>
            <w:r>
              <w:rPr>
                <w:rFonts w:hint="eastAsia" w:ascii="宋体" w:hAnsi="宋体" w:cs="宋体"/>
                <w:szCs w:val="21"/>
              </w:rPr>
              <w:t>政策分（满分</w:t>
            </w:r>
          </w:p>
          <w:p w14:paraId="257C0396">
            <w:pPr>
              <w:pStyle w:val="11"/>
              <w:wordWrap w:val="0"/>
              <w:spacing w:line="360" w:lineRule="auto"/>
              <w:jc w:val="center"/>
              <w:rPr>
                <w:rFonts w:hint="eastAsia" w:hAnsi="宋体" w:cs="宋体"/>
              </w:rPr>
            </w:pPr>
            <w:r>
              <w:rPr>
                <w:rFonts w:hint="eastAsia" w:hAnsi="宋体" w:cs="宋体"/>
                <w:u w:val="single"/>
              </w:rPr>
              <w:t>2</w:t>
            </w:r>
            <w:r>
              <w:rPr>
                <w:rFonts w:hint="eastAsia" w:hAnsi="宋体" w:cs="宋体"/>
              </w:rPr>
              <w:t>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1A25887">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b w:val="0"/>
                <w:sz w:val="21"/>
                <w:szCs w:val="21"/>
              </w:rPr>
              <w:t>（1）属于财政部《节能产品政府采购品目清单》内优先采购（清单内未标注“★”的品目）的产品[投标文件中提供有效的认证证书复印件及品目清单（标注出投标产品在品目清单中所属的品目），并加盖投标人</w:t>
            </w:r>
            <w:r>
              <w:rPr>
                <w:rFonts w:hint="eastAsia" w:ascii="宋体" w:hAnsi="宋体" w:eastAsia="宋体" w:cs="宋体"/>
                <w:b w:val="0"/>
                <w:sz w:val="21"/>
                <w:szCs w:val="21"/>
                <w:lang w:val="en-US" w:eastAsia="zh-CN"/>
              </w:rPr>
              <w:t>电子签章</w:t>
            </w:r>
            <w:r>
              <w:rPr>
                <w:rFonts w:hint="eastAsia" w:ascii="宋体" w:hAnsi="宋体" w:eastAsia="宋体" w:cs="宋体"/>
                <w:b w:val="0"/>
                <w:sz w:val="21"/>
                <w:szCs w:val="21"/>
              </w:rPr>
              <w:t>]，每项得1分，满分1分。</w:t>
            </w:r>
          </w:p>
          <w:p w14:paraId="6C2AEE02">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b w:val="0"/>
                <w:sz w:val="21"/>
                <w:szCs w:val="21"/>
              </w:rPr>
              <w:t>（2）属于财政部《环境标志产品政府采购品目清单》内的产品[投标文件中提供有效的认证证书复印件及品目清单（标注出投标产品在品目清单中所属的品目），并加盖投标人</w:t>
            </w:r>
            <w:r>
              <w:rPr>
                <w:rFonts w:hint="eastAsia" w:ascii="宋体" w:hAnsi="宋体" w:eastAsia="宋体" w:cs="宋体"/>
                <w:b w:val="0"/>
                <w:sz w:val="21"/>
                <w:szCs w:val="21"/>
                <w:lang w:val="en-US" w:eastAsia="zh-CN"/>
              </w:rPr>
              <w:t>电子签章</w:t>
            </w:r>
            <w:r>
              <w:rPr>
                <w:rFonts w:hint="eastAsia" w:ascii="宋体" w:hAnsi="宋体" w:eastAsia="宋体" w:cs="宋体"/>
                <w:b w:val="0"/>
                <w:sz w:val="21"/>
                <w:szCs w:val="21"/>
              </w:rPr>
              <w:t>]，每项得1分，满分1分；</w:t>
            </w:r>
          </w:p>
          <w:p w14:paraId="45F9C10E">
            <w:pPr>
              <w:pStyle w:val="3"/>
              <w:keepNext w:val="0"/>
              <w:keepLines w:val="0"/>
              <w:wordWrap w:val="0"/>
              <w:spacing w:before="0" w:after="0" w:line="360" w:lineRule="auto"/>
              <w:rPr>
                <w:rFonts w:hint="eastAsia" w:hAnsi="宋体" w:cs="宋体"/>
                <w:sz w:val="21"/>
              </w:rPr>
            </w:pPr>
            <w:r>
              <w:rPr>
                <w:rFonts w:hint="eastAsia" w:ascii="宋体" w:hAnsi="宋体" w:eastAsia="宋体" w:cs="宋体"/>
                <w:b w:val="0"/>
                <w:sz w:val="21"/>
                <w:szCs w:val="21"/>
              </w:rPr>
              <w:t>（3）非节能、环境标志产品的不得分。</w:t>
            </w:r>
          </w:p>
        </w:tc>
      </w:tr>
      <w:tr w14:paraId="309AF8F6">
        <w:tblPrEx>
          <w:tblCellMar>
            <w:top w:w="0" w:type="dxa"/>
            <w:left w:w="108" w:type="dxa"/>
            <w:bottom w:w="0" w:type="dxa"/>
            <w:right w:w="108" w:type="dxa"/>
          </w:tblCellMar>
        </w:tblPrEx>
        <w:trPr>
          <w:trHeight w:val="416" w:hRule="atLeast"/>
          <w:jc w:val="center"/>
        </w:trPr>
        <w:tc>
          <w:tcPr>
            <w:tcW w:w="10359" w:type="dxa"/>
            <w:gridSpan w:val="4"/>
            <w:tcBorders>
              <w:top w:val="single" w:color="auto" w:sz="4" w:space="0"/>
              <w:left w:val="single" w:color="auto" w:sz="4" w:space="0"/>
              <w:bottom w:val="single" w:color="auto" w:sz="4" w:space="0"/>
              <w:right w:val="single" w:color="auto" w:sz="4" w:space="0"/>
            </w:tcBorders>
            <w:vAlign w:val="center"/>
          </w:tcPr>
          <w:p w14:paraId="7C8FB836">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sz w:val="21"/>
                <w:szCs w:val="21"/>
              </w:rPr>
              <w:t>总得分=</w:t>
            </w:r>
            <w:r>
              <w:rPr>
                <w:rFonts w:hint="eastAsia" w:ascii="宋体" w:hAnsi="宋体" w:cs="宋体"/>
                <w:sz w:val="21"/>
                <w:szCs w:val="21"/>
              </w:rPr>
              <w:t>1+2+3</w:t>
            </w:r>
          </w:p>
        </w:tc>
      </w:tr>
    </w:tbl>
    <w:p w14:paraId="26F14E21">
      <w:pPr>
        <w:sectPr>
          <w:pgSz w:w="11906" w:h="16838"/>
          <w:pgMar w:top="1440" w:right="1440" w:bottom="1440" w:left="1440" w:header="851" w:footer="992" w:gutter="0"/>
          <w:cols w:space="720" w:num="1"/>
          <w:docGrid w:linePitch="312" w:charSpace="0"/>
        </w:sectPr>
      </w:pPr>
    </w:p>
    <w:tbl>
      <w:tblPr>
        <w:tblStyle w:val="17"/>
        <w:tblW w:w="10359" w:type="dxa"/>
        <w:jc w:val="center"/>
        <w:tblLayout w:type="fixed"/>
        <w:tblCellMar>
          <w:top w:w="0" w:type="dxa"/>
          <w:left w:w="108" w:type="dxa"/>
          <w:bottom w:w="0" w:type="dxa"/>
          <w:right w:w="108" w:type="dxa"/>
        </w:tblCellMar>
      </w:tblPr>
      <w:tblGrid>
        <w:gridCol w:w="737"/>
        <w:gridCol w:w="1270"/>
        <w:gridCol w:w="1165"/>
        <w:gridCol w:w="7187"/>
      </w:tblGrid>
      <w:tr w14:paraId="574A9D54">
        <w:tblPrEx>
          <w:tblCellMar>
            <w:top w:w="0" w:type="dxa"/>
            <w:left w:w="108" w:type="dxa"/>
            <w:bottom w:w="0" w:type="dxa"/>
            <w:right w:w="108" w:type="dxa"/>
          </w:tblCellMar>
        </w:tblPrEx>
        <w:trPr>
          <w:tblHeader/>
          <w:jc w:val="center"/>
        </w:trPr>
        <w:tc>
          <w:tcPr>
            <w:tcW w:w="10359" w:type="dxa"/>
            <w:gridSpan w:val="4"/>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77C83949">
            <w:pPr>
              <w:wordWrap w:val="0"/>
              <w:spacing w:line="360" w:lineRule="auto"/>
              <w:jc w:val="center"/>
              <w:textAlignment w:val="baseline"/>
              <w:rPr>
                <w:rFonts w:hint="eastAsia" w:ascii="宋体" w:hAnsi="宋体" w:cs="宋体"/>
                <w:b/>
                <w:szCs w:val="21"/>
              </w:rPr>
            </w:pPr>
            <w:r>
              <w:rPr>
                <w:rFonts w:hint="eastAsia" w:ascii="宋体" w:hAnsi="宋体" w:cs="宋体"/>
                <w:b/>
                <w:szCs w:val="21"/>
              </w:rPr>
              <w:t>2分标</w:t>
            </w:r>
          </w:p>
        </w:tc>
      </w:tr>
      <w:tr w14:paraId="75CFAEFD">
        <w:tblPrEx>
          <w:tblCellMar>
            <w:top w:w="0" w:type="dxa"/>
            <w:left w:w="108" w:type="dxa"/>
            <w:bottom w:w="0" w:type="dxa"/>
            <w:right w:w="108" w:type="dxa"/>
          </w:tblCellMar>
        </w:tblPrEx>
        <w:trPr>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64828A70">
            <w:pPr>
              <w:wordWrap w:val="0"/>
              <w:spacing w:line="360" w:lineRule="auto"/>
              <w:jc w:val="center"/>
              <w:textAlignment w:val="baseline"/>
              <w:rPr>
                <w:rFonts w:hint="eastAsia" w:ascii="宋体" w:hAnsi="宋体" w:cs="宋体"/>
                <w:szCs w:val="21"/>
              </w:rPr>
            </w:pPr>
            <w:r>
              <w:rPr>
                <w:rFonts w:hint="eastAsia" w:ascii="宋体" w:hAnsi="宋体" w:cs="宋体"/>
                <w:b/>
                <w:szCs w:val="21"/>
              </w:rPr>
              <w:t>序号</w:t>
            </w:r>
          </w:p>
        </w:tc>
        <w:tc>
          <w:tcPr>
            <w:tcW w:w="1270"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7F05CC3E">
            <w:pPr>
              <w:wordWrap w:val="0"/>
              <w:spacing w:line="360" w:lineRule="auto"/>
              <w:jc w:val="center"/>
              <w:textAlignment w:val="baseline"/>
              <w:rPr>
                <w:rFonts w:hint="eastAsia" w:ascii="宋体" w:hAnsi="宋体" w:cs="宋体"/>
                <w:b/>
                <w:szCs w:val="21"/>
              </w:rPr>
            </w:pPr>
            <w:r>
              <w:rPr>
                <w:rFonts w:hint="eastAsia" w:ascii="宋体" w:hAnsi="宋体" w:cs="宋体"/>
                <w:b/>
                <w:szCs w:val="21"/>
              </w:rPr>
              <w:t>评审事项</w:t>
            </w:r>
          </w:p>
        </w:tc>
        <w:tc>
          <w:tcPr>
            <w:tcW w:w="1165"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1C795366">
            <w:pPr>
              <w:wordWrap w:val="0"/>
              <w:spacing w:line="360" w:lineRule="auto"/>
              <w:jc w:val="center"/>
              <w:textAlignment w:val="baseline"/>
              <w:rPr>
                <w:rFonts w:hint="eastAsia" w:ascii="宋体" w:hAnsi="宋体" w:cs="宋体"/>
                <w:szCs w:val="21"/>
              </w:rPr>
            </w:pPr>
            <w:r>
              <w:rPr>
                <w:rFonts w:hint="eastAsia" w:ascii="宋体" w:hAnsi="宋体" w:cs="宋体"/>
                <w:b/>
                <w:szCs w:val="21"/>
              </w:rPr>
              <w:t>评审因素</w:t>
            </w:r>
          </w:p>
        </w:tc>
        <w:tc>
          <w:tcPr>
            <w:tcW w:w="7187"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758120AE">
            <w:pPr>
              <w:wordWrap w:val="0"/>
              <w:spacing w:line="360" w:lineRule="auto"/>
              <w:jc w:val="center"/>
              <w:textAlignment w:val="baseline"/>
              <w:rPr>
                <w:rFonts w:hint="eastAsia" w:ascii="宋体" w:hAnsi="宋体" w:cs="宋体"/>
                <w:szCs w:val="21"/>
              </w:rPr>
            </w:pPr>
            <w:r>
              <w:rPr>
                <w:rFonts w:hint="eastAsia" w:ascii="宋体" w:hAnsi="宋体" w:cs="宋体"/>
                <w:b/>
                <w:szCs w:val="21"/>
              </w:rPr>
              <w:t>评标标准</w:t>
            </w:r>
          </w:p>
        </w:tc>
      </w:tr>
      <w:tr w14:paraId="35676D70">
        <w:tblPrEx>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14:paraId="3B7922CF">
            <w:pPr>
              <w:wordWrap w:val="0"/>
              <w:spacing w:line="360" w:lineRule="auto"/>
              <w:jc w:val="center"/>
              <w:textAlignment w:val="baseline"/>
              <w:rPr>
                <w:rFonts w:hint="eastAsia" w:ascii="宋体" w:hAnsi="宋体" w:cs="宋体"/>
                <w:bCs/>
                <w:szCs w:val="21"/>
              </w:rPr>
            </w:pPr>
            <w:r>
              <w:rPr>
                <w:rFonts w:hint="eastAsia" w:ascii="宋体" w:hAnsi="宋体" w:cs="宋体"/>
                <w:bCs/>
                <w:szCs w:val="21"/>
              </w:rPr>
              <w:t>1</w:t>
            </w:r>
          </w:p>
        </w:tc>
        <w:tc>
          <w:tcPr>
            <w:tcW w:w="1270" w:type="dxa"/>
            <w:tcBorders>
              <w:top w:val="single" w:color="auto" w:sz="4" w:space="0"/>
              <w:left w:val="nil"/>
              <w:bottom w:val="single" w:color="auto" w:sz="4" w:space="0"/>
              <w:right w:val="single" w:color="auto" w:sz="4" w:space="0"/>
            </w:tcBorders>
            <w:vAlign w:val="center"/>
          </w:tcPr>
          <w:p w14:paraId="313945A1">
            <w:pPr>
              <w:wordWrap w:val="0"/>
              <w:spacing w:line="360" w:lineRule="auto"/>
              <w:jc w:val="center"/>
              <w:textAlignment w:val="baseline"/>
              <w:rPr>
                <w:rFonts w:hint="eastAsia" w:ascii="宋体" w:hAnsi="宋体" w:cs="宋体"/>
                <w:bCs/>
                <w:szCs w:val="21"/>
              </w:rPr>
            </w:pPr>
            <w:r>
              <w:rPr>
                <w:rFonts w:hint="eastAsia" w:ascii="宋体" w:hAnsi="宋体" w:cs="宋体"/>
                <w:bCs/>
                <w:szCs w:val="21"/>
              </w:rPr>
              <w:t>价格分</w:t>
            </w:r>
          </w:p>
          <w:p w14:paraId="7D30F093">
            <w:pPr>
              <w:wordWrap w:val="0"/>
              <w:spacing w:line="360" w:lineRule="auto"/>
              <w:jc w:val="left"/>
              <w:textAlignment w:val="baseline"/>
              <w:rPr>
                <w:rFonts w:hint="eastAsia" w:ascii="宋体" w:hAnsi="宋体" w:cs="宋体"/>
                <w:bCs/>
                <w:szCs w:val="21"/>
              </w:rPr>
            </w:pPr>
            <w:r>
              <w:rPr>
                <w:rFonts w:hint="eastAsia" w:ascii="宋体" w:hAnsi="宋体" w:cs="宋体"/>
                <w:bCs/>
                <w:szCs w:val="21"/>
              </w:rPr>
              <w:t>（满分</w:t>
            </w:r>
            <w:r>
              <w:rPr>
                <w:rFonts w:hint="eastAsia" w:ascii="宋体" w:hAnsi="宋体" w:cs="宋体"/>
                <w:bCs/>
                <w:szCs w:val="21"/>
                <w:u w:val="single"/>
              </w:rPr>
              <w:t>30</w:t>
            </w:r>
            <w:r>
              <w:rPr>
                <w:rFonts w:hint="eastAsia" w:ascii="宋体" w:hAnsi="宋体" w:cs="宋体"/>
                <w:bCs/>
                <w:szCs w:val="21"/>
              </w:rPr>
              <w:t>分）</w:t>
            </w:r>
          </w:p>
        </w:tc>
        <w:tc>
          <w:tcPr>
            <w:tcW w:w="1165" w:type="dxa"/>
            <w:tcBorders>
              <w:top w:val="single" w:color="auto" w:sz="4" w:space="0"/>
              <w:left w:val="nil"/>
              <w:bottom w:val="single" w:color="auto" w:sz="4" w:space="0"/>
              <w:right w:val="single" w:color="auto" w:sz="4" w:space="0"/>
            </w:tcBorders>
            <w:vAlign w:val="center"/>
          </w:tcPr>
          <w:p w14:paraId="598A355B">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投标报价</w:t>
            </w:r>
          </w:p>
        </w:tc>
        <w:tc>
          <w:tcPr>
            <w:tcW w:w="7187" w:type="dxa"/>
            <w:tcBorders>
              <w:top w:val="single" w:color="auto" w:sz="4" w:space="0"/>
              <w:left w:val="nil"/>
              <w:bottom w:val="single" w:color="auto" w:sz="4" w:space="0"/>
              <w:right w:val="single" w:color="auto" w:sz="4" w:space="0"/>
            </w:tcBorders>
            <w:vAlign w:val="center"/>
          </w:tcPr>
          <w:p w14:paraId="262DCAF0">
            <w:pPr>
              <w:spacing w:line="560" w:lineRule="exact"/>
              <w:jc w:val="left"/>
              <w:rPr>
                <w:rFonts w:ascii="Arial" w:hAnsi="Arial" w:cs="Arial"/>
                <w:kern w:val="0"/>
                <w:szCs w:val="21"/>
              </w:rPr>
            </w:pPr>
            <w:r>
              <w:rPr>
                <w:rFonts w:hint="eastAsia" w:ascii="Arial" w:hAnsi="Arial" w:cs="Arial"/>
                <w:kern w:val="0"/>
                <w:szCs w:val="21"/>
              </w:rPr>
              <w:t>1.</w:t>
            </w:r>
            <w:r>
              <w:rPr>
                <w:rFonts w:ascii="Arial" w:hAnsi="Arial" w:cs="Arial"/>
                <w:b/>
                <w:bCs/>
                <w:kern w:val="0"/>
                <w:szCs w:val="21"/>
              </w:rPr>
              <w:t>专门面向</w:t>
            </w:r>
            <w:r>
              <w:rPr>
                <w:rFonts w:hint="eastAsia" w:ascii="Arial" w:hAnsi="Arial" w:cs="Arial"/>
                <w:b/>
                <w:bCs/>
                <w:kern w:val="0"/>
                <w:szCs w:val="21"/>
              </w:rPr>
              <w:t>小微</w:t>
            </w:r>
            <w:r>
              <w:rPr>
                <w:rFonts w:ascii="Arial" w:hAnsi="Arial" w:cs="Arial"/>
                <w:b/>
                <w:bCs/>
                <w:kern w:val="0"/>
                <w:szCs w:val="21"/>
              </w:rPr>
              <w:t>企业采购的项目或者采购包，不再执行价格评审优惠的扶持政策。</w:t>
            </w:r>
          </w:p>
          <w:p w14:paraId="45CF1BB9">
            <w:pPr>
              <w:spacing w:line="560" w:lineRule="exact"/>
              <w:jc w:val="left"/>
              <w:rPr>
                <w:rFonts w:hint="eastAsia" w:hAnsi="宋体" w:cs="宋体"/>
              </w:rPr>
            </w:pPr>
            <w:r>
              <w:rPr>
                <w:rFonts w:hint="eastAsia" w:ascii="Arial" w:hAnsi="Arial" w:cs="Arial"/>
                <w:kern w:val="0"/>
                <w:szCs w:val="21"/>
              </w:rPr>
              <w:t>2.以进入比较与评价环节的最低的投标报价为基准价，基准价得分为30分。3.价格分计算公式：报价得分=（基准价/供应商投标报价）×30分</w:t>
            </w:r>
          </w:p>
        </w:tc>
      </w:tr>
      <w:tr w14:paraId="436A4F85">
        <w:tblPrEx>
          <w:tblCellMar>
            <w:top w:w="0" w:type="dxa"/>
            <w:left w:w="108" w:type="dxa"/>
            <w:bottom w:w="0" w:type="dxa"/>
            <w:right w:w="108" w:type="dxa"/>
          </w:tblCellMar>
        </w:tblPrEx>
        <w:trPr>
          <w:trHeight w:val="90"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5BDE245F">
            <w:pPr>
              <w:wordWrap w:val="0"/>
              <w:spacing w:line="360" w:lineRule="auto"/>
              <w:jc w:val="center"/>
              <w:textAlignment w:val="baseline"/>
              <w:rPr>
                <w:rFonts w:hint="eastAsia" w:ascii="宋体" w:hAnsi="宋体" w:cs="宋体"/>
                <w:b/>
                <w:szCs w:val="21"/>
              </w:rPr>
            </w:pPr>
            <w:r>
              <w:rPr>
                <w:rFonts w:hint="eastAsia" w:ascii="宋体" w:hAnsi="宋体" w:cs="宋体"/>
                <w:b/>
                <w:szCs w:val="21"/>
              </w:rPr>
              <w:t>2</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742643AC">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技术分</w:t>
            </w:r>
          </w:p>
          <w:p w14:paraId="7AFF24A7">
            <w:pPr>
              <w:wordWrap w:val="0"/>
              <w:spacing w:line="360" w:lineRule="auto"/>
              <w:jc w:val="center"/>
              <w:textAlignment w:val="baseline"/>
              <w:rPr>
                <w:rFonts w:hint="eastAsia" w:ascii="宋体" w:hAnsi="宋体" w:cs="宋体"/>
                <w:spacing w:val="-18"/>
                <w:szCs w:val="21"/>
              </w:rPr>
            </w:pPr>
            <w:r>
              <w:rPr>
                <w:rFonts w:hint="eastAsia" w:ascii="宋体" w:hAnsi="宋体" w:cs="宋体"/>
                <w:bCs/>
                <w:szCs w:val="21"/>
              </w:rPr>
              <w:t>（满分54分）</w:t>
            </w:r>
          </w:p>
        </w:tc>
        <w:tc>
          <w:tcPr>
            <w:tcW w:w="1165" w:type="dxa"/>
            <w:tcBorders>
              <w:top w:val="single" w:color="auto" w:sz="4" w:space="0"/>
              <w:left w:val="nil"/>
              <w:bottom w:val="single" w:color="auto" w:sz="4" w:space="0"/>
              <w:right w:val="single" w:color="auto" w:sz="4" w:space="0"/>
            </w:tcBorders>
            <w:vAlign w:val="center"/>
          </w:tcPr>
          <w:p w14:paraId="292E0E95">
            <w:pPr>
              <w:wordWrap w:val="0"/>
              <w:spacing w:line="360" w:lineRule="auto"/>
              <w:jc w:val="center"/>
              <w:textAlignment w:val="baseline"/>
              <w:rPr>
                <w:rFonts w:hint="eastAsia" w:ascii="宋体" w:hAnsi="宋体" w:cs="宋体"/>
                <w:szCs w:val="21"/>
              </w:rPr>
            </w:pPr>
            <w:r>
              <w:rPr>
                <w:rFonts w:hint="eastAsia" w:ascii="宋体" w:hAnsi="宋体" w:cs="宋体"/>
                <w:szCs w:val="21"/>
              </w:rPr>
              <w:t>2.1</w:t>
            </w:r>
            <w:r>
              <w:rPr>
                <w:rFonts w:hint="eastAsia"/>
                <w:szCs w:val="21"/>
              </w:rPr>
              <w:t>货物</w:t>
            </w:r>
            <w:r>
              <w:rPr>
                <w:szCs w:val="21"/>
              </w:rPr>
              <w:t>性能分（满分</w:t>
            </w:r>
            <w:r>
              <w:rPr>
                <w:rFonts w:hint="eastAsia"/>
                <w:szCs w:val="21"/>
              </w:rPr>
              <w:t>15</w:t>
            </w:r>
            <w:r>
              <w:rPr>
                <w:szCs w:val="21"/>
              </w:rPr>
              <w:t>分）</w:t>
            </w:r>
          </w:p>
        </w:tc>
        <w:tc>
          <w:tcPr>
            <w:tcW w:w="7187" w:type="dxa"/>
            <w:tcBorders>
              <w:top w:val="single" w:color="auto" w:sz="4" w:space="0"/>
              <w:left w:val="nil"/>
              <w:bottom w:val="single" w:color="auto" w:sz="4" w:space="0"/>
              <w:right w:val="single" w:color="auto" w:sz="4" w:space="0"/>
            </w:tcBorders>
            <w:vAlign w:val="center"/>
          </w:tcPr>
          <w:p w14:paraId="66F243F7">
            <w:pPr>
              <w:wordWrap w:val="0"/>
              <w:spacing w:line="360" w:lineRule="auto"/>
              <w:rPr>
                <w:rFonts w:hint="eastAsia" w:ascii="宋体" w:hAnsi="宋体" w:cs="宋体"/>
                <w:kern w:val="0"/>
                <w:szCs w:val="21"/>
              </w:rPr>
            </w:pPr>
            <w:r>
              <w:rPr>
                <w:rFonts w:hint="eastAsia" w:ascii="宋体" w:hAnsi="宋体" w:cs="宋体"/>
                <w:kern w:val="0"/>
                <w:szCs w:val="21"/>
              </w:rPr>
              <w:t>1.完全满足招标文件要求得基本分5分，如有一般参数及功能（未标▲号）负偏离一项扣1分，漏项的每一项扣2分，最多扣完本项分值（在招标文件允许偏离的项数内）；</w:t>
            </w:r>
          </w:p>
          <w:p w14:paraId="772652C3">
            <w:pPr>
              <w:wordWrap w:val="0"/>
              <w:spacing w:line="360" w:lineRule="auto"/>
              <w:rPr>
                <w:rFonts w:hint="eastAsia" w:ascii="宋体" w:hAnsi="宋体" w:cs="宋体"/>
                <w:kern w:val="0"/>
                <w:szCs w:val="21"/>
              </w:rPr>
            </w:pPr>
            <w:r>
              <w:rPr>
                <w:rFonts w:hint="eastAsia" w:ascii="宋体" w:hAnsi="宋体" w:cs="宋体"/>
                <w:kern w:val="0"/>
                <w:szCs w:val="21"/>
              </w:rPr>
              <w:t>2.一般参数及功能（未标▲号）：有优于招标文件要求且评标时被评标委员会接受的，每优于一项加1分。满分10分</w:t>
            </w:r>
          </w:p>
          <w:p w14:paraId="14420298">
            <w:pPr>
              <w:wordWrap w:val="0"/>
              <w:spacing w:line="360" w:lineRule="auto"/>
              <w:rPr>
                <w:rFonts w:hint="eastAsia" w:ascii="宋体" w:hAnsi="宋体" w:cs="宋体"/>
                <w:spacing w:val="-6"/>
                <w:szCs w:val="21"/>
              </w:rPr>
            </w:pPr>
            <w:r>
              <w:rPr>
                <w:rFonts w:hint="eastAsia" w:ascii="宋体" w:hAnsi="宋体" w:cs="宋体"/>
                <w:kern w:val="0"/>
                <w:szCs w:val="21"/>
              </w:rPr>
              <w:t>注：投标参数及功能有优于的，投标人须在投标文件中提供投标产品的彩页或第三方检测报告复印件或产品生产厂家出具的技术参数说明（</w:t>
            </w:r>
            <w:r>
              <w:rPr>
                <w:rFonts w:hint="eastAsia" w:ascii="宋体" w:hAnsi="宋体"/>
                <w:b/>
                <w:bCs/>
                <w:szCs w:val="21"/>
              </w:rPr>
              <w:t>分项货物有要求投标时提供对应证明材料复印件并加盖供应商CA签章的按分项要求提供</w:t>
            </w:r>
            <w:r>
              <w:rPr>
                <w:rFonts w:hint="eastAsia" w:ascii="宋体" w:hAnsi="宋体" w:cs="宋体"/>
                <w:kern w:val="0"/>
                <w:szCs w:val="21"/>
              </w:rPr>
              <w:t>）等证明材料作为佐证。</w:t>
            </w:r>
          </w:p>
        </w:tc>
      </w:tr>
      <w:tr w14:paraId="5856288D">
        <w:tblPrEx>
          <w:tblCellMar>
            <w:top w:w="0" w:type="dxa"/>
            <w:left w:w="108" w:type="dxa"/>
            <w:bottom w:w="0" w:type="dxa"/>
            <w:right w:w="108" w:type="dxa"/>
          </w:tblCellMar>
        </w:tblPrEx>
        <w:trPr>
          <w:trHeight w:val="1032"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60797409">
            <w:pPr>
              <w:wordWrap w:val="0"/>
              <w:spacing w:line="360" w:lineRule="auto"/>
              <w:jc w:val="center"/>
              <w:textAlignment w:val="baseline"/>
              <w:rPr>
                <w:rFonts w:hint="eastAsia" w:ascii="宋体" w:hAnsi="宋体" w:cs="宋体"/>
                <w:b/>
                <w:szCs w:val="21"/>
              </w:rPr>
            </w:pPr>
          </w:p>
        </w:tc>
        <w:tc>
          <w:tcPr>
            <w:tcW w:w="1270" w:type="dxa"/>
            <w:vMerge w:val="continue"/>
            <w:tcBorders>
              <w:top w:val="single" w:color="auto" w:sz="4" w:space="0"/>
              <w:left w:val="nil"/>
              <w:bottom w:val="single" w:color="auto" w:sz="4" w:space="0"/>
              <w:right w:val="single" w:color="auto" w:sz="4" w:space="0"/>
            </w:tcBorders>
            <w:vAlign w:val="center"/>
          </w:tcPr>
          <w:p w14:paraId="2E656B7E">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03D97BAC">
            <w:pPr>
              <w:adjustRightInd w:val="0"/>
              <w:spacing w:line="360" w:lineRule="exact"/>
              <w:jc w:val="center"/>
              <w:textAlignment w:val="baseline"/>
              <w:rPr>
                <w:bCs/>
              </w:rPr>
            </w:pPr>
            <w:r>
              <w:rPr>
                <w:rFonts w:hint="eastAsia" w:ascii="宋体" w:hAnsi="宋体" w:cs="宋体"/>
                <w:szCs w:val="21"/>
              </w:rPr>
              <w:t>2.2项目实施方案</w:t>
            </w:r>
          </w:p>
          <w:p w14:paraId="496A201E">
            <w:pPr>
              <w:wordWrap w:val="0"/>
              <w:spacing w:line="360" w:lineRule="auto"/>
              <w:jc w:val="center"/>
              <w:textAlignment w:val="baseline"/>
              <w:rPr>
                <w:rFonts w:hint="eastAsia" w:ascii="宋体" w:hAnsi="宋体" w:cs="宋体"/>
                <w:szCs w:val="21"/>
              </w:rPr>
            </w:pPr>
            <w:r>
              <w:rPr>
                <w:rFonts w:hint="eastAsia"/>
                <w:bCs/>
              </w:rPr>
              <w:t>（</w:t>
            </w:r>
            <w:r>
              <w:rPr>
                <w:rFonts w:hint="eastAsia" w:hAnsi="宋体"/>
                <w:szCs w:val="21"/>
              </w:rPr>
              <w:t>满分30</w:t>
            </w:r>
            <w:r>
              <w:rPr>
                <w:rFonts w:hint="eastAsia"/>
                <w:bCs/>
              </w:rPr>
              <w:t>分）</w:t>
            </w:r>
          </w:p>
        </w:tc>
        <w:tc>
          <w:tcPr>
            <w:tcW w:w="7187" w:type="dxa"/>
            <w:tcBorders>
              <w:top w:val="single" w:color="auto" w:sz="4" w:space="0"/>
              <w:left w:val="single" w:color="auto" w:sz="4" w:space="0"/>
              <w:bottom w:val="single" w:color="auto" w:sz="4" w:space="0"/>
              <w:right w:val="single" w:color="auto" w:sz="4" w:space="0"/>
            </w:tcBorders>
            <w:vAlign w:val="center"/>
          </w:tcPr>
          <w:p w14:paraId="075F064E">
            <w:pPr>
              <w:widowControl/>
              <w:spacing w:line="400" w:lineRule="exact"/>
              <w:ind w:firstLine="420" w:firstLineChars="200"/>
              <w:rPr>
                <w:rFonts w:hint="eastAsia" w:ascii="宋体" w:hAnsi="宋体" w:cs="宋体"/>
                <w:szCs w:val="21"/>
              </w:rPr>
            </w:pPr>
            <w:r>
              <w:rPr>
                <w:rFonts w:hint="eastAsia" w:ascii="宋体" w:hAnsi="宋体" w:cs="宋体"/>
                <w:szCs w:val="21"/>
              </w:rPr>
              <w:t>由评委根据招标文件要求及投标人的投标文件中的货物包装、发运及运输、配送方案，项目安装、调试、验收计划方案，确保质量及交付期的组织方案，人力资源和技术力量安排，技术服务、技术培训的内容和措施，提供本项目的针对性方案等内容进行评审，独立打分。提供的项目实施方案不能满足项目实施要求的不得分。</w:t>
            </w:r>
          </w:p>
          <w:p w14:paraId="638184EC">
            <w:pPr>
              <w:widowControl/>
              <w:spacing w:line="400" w:lineRule="exact"/>
              <w:ind w:firstLine="420" w:firstLineChars="200"/>
              <w:rPr>
                <w:rFonts w:hint="eastAsia" w:ascii="宋体" w:hAnsi="宋体" w:cs="宋体"/>
                <w:szCs w:val="21"/>
              </w:rPr>
            </w:pPr>
            <w:r>
              <w:rPr>
                <w:rFonts w:hint="eastAsia" w:ascii="宋体" w:hAnsi="宋体" w:cs="宋体"/>
                <w:szCs w:val="21"/>
              </w:rPr>
              <w:t>一档（7分）：项目实施方案较简单、内容有欠缺，基本满足项目实施要求。</w:t>
            </w:r>
          </w:p>
          <w:p w14:paraId="7AD5407A">
            <w:pPr>
              <w:widowControl/>
              <w:spacing w:line="400" w:lineRule="exact"/>
              <w:ind w:firstLine="420" w:firstLineChars="200"/>
              <w:rPr>
                <w:rFonts w:hint="eastAsia" w:ascii="宋体" w:hAnsi="宋体" w:cs="宋体"/>
                <w:szCs w:val="21"/>
              </w:rPr>
            </w:pPr>
            <w:r>
              <w:rPr>
                <w:rFonts w:hint="eastAsia" w:ascii="宋体" w:hAnsi="宋体" w:cs="宋体"/>
                <w:szCs w:val="21"/>
              </w:rPr>
              <w:t>二档（15分）；项目实施方案可行，项目实施计划、组织方案较完整较周全，拟投入的人力资源和技术力量满足项目实施需要，技术服务、技术培训的内容完整、措施可行。</w:t>
            </w:r>
          </w:p>
          <w:p w14:paraId="621773FE">
            <w:pPr>
              <w:widowControl/>
              <w:spacing w:line="400" w:lineRule="exact"/>
              <w:ind w:firstLine="420" w:firstLineChars="200"/>
              <w:rPr>
                <w:rFonts w:hint="eastAsia" w:ascii="宋体" w:hAnsi="宋体" w:cs="宋体"/>
                <w:szCs w:val="21"/>
              </w:rPr>
            </w:pPr>
            <w:r>
              <w:rPr>
                <w:rFonts w:hint="eastAsia" w:ascii="宋体" w:hAnsi="宋体" w:cs="宋体"/>
                <w:szCs w:val="21"/>
              </w:rPr>
              <w:t>三档（22分）：项目实施方案详细、可行，有针对本项目的对接方案，项目实施计划、组织方案完整较周全，项目实施人员配备较合理、分工明确，技术服务的内容完整、具备较强操作性，能较好保障项目实施需要。</w:t>
            </w:r>
          </w:p>
          <w:p w14:paraId="38C9B1DD">
            <w:pPr>
              <w:widowControl/>
              <w:spacing w:line="400" w:lineRule="exact"/>
              <w:ind w:firstLine="420" w:firstLineChars="200"/>
              <w:rPr>
                <w:rFonts w:hint="eastAsia" w:ascii="宋体" w:hAnsi="宋体" w:cs="宋体"/>
                <w:szCs w:val="21"/>
              </w:rPr>
            </w:pPr>
            <w:r>
              <w:rPr>
                <w:rFonts w:hint="eastAsia" w:ascii="宋体" w:hAnsi="宋体" w:cs="宋体"/>
                <w:szCs w:val="21"/>
              </w:rPr>
              <w:t>四档（30分）：项目实施方案详实、切合本项目实际，有针对本项目的对接方案，项目实施计划、组织方案完整周全，组织机构健全，实施流程合理，项目实施人员配备充足、分工合理明确，技术服务的内容完整全面、方案完善、优化，很好保障项目实施需要。</w:t>
            </w:r>
          </w:p>
          <w:p w14:paraId="2CB935EA">
            <w:pPr>
              <w:spacing w:line="410" w:lineRule="exact"/>
              <w:ind w:firstLine="426" w:firstLineChars="202"/>
              <w:rPr>
                <w:rFonts w:hint="eastAsia" w:ascii="宋体" w:hAnsi="宋体" w:cs="宋体"/>
                <w:szCs w:val="21"/>
              </w:rPr>
            </w:pPr>
            <w:r>
              <w:rPr>
                <w:rFonts w:hint="eastAsia" w:ascii="宋体" w:hAnsi="宋体" w:cs="宋体"/>
                <w:b/>
                <w:bCs/>
                <w:szCs w:val="21"/>
              </w:rPr>
              <w:t>注：</w:t>
            </w:r>
            <w:r>
              <w:rPr>
                <w:rFonts w:hint="eastAsia" w:ascii="宋体" w:hAnsi="宋体" w:cs="宋体"/>
                <w:b/>
                <w:szCs w:val="21"/>
              </w:rPr>
              <w:t>未提供方案或提供的内容与本项目无关的得0分。</w:t>
            </w:r>
          </w:p>
        </w:tc>
      </w:tr>
      <w:tr w14:paraId="4F1B33B3">
        <w:tblPrEx>
          <w:tblCellMar>
            <w:top w:w="0" w:type="dxa"/>
            <w:left w:w="108" w:type="dxa"/>
            <w:bottom w:w="0" w:type="dxa"/>
            <w:right w:w="108" w:type="dxa"/>
          </w:tblCellMar>
        </w:tblPrEx>
        <w:trPr>
          <w:trHeight w:val="1032"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C5E7B31">
            <w:pPr>
              <w:wordWrap w:val="0"/>
              <w:spacing w:line="360" w:lineRule="auto"/>
              <w:jc w:val="center"/>
              <w:textAlignment w:val="baseline"/>
              <w:rPr>
                <w:rFonts w:hint="eastAsia" w:ascii="宋体" w:hAnsi="宋体" w:cs="宋体"/>
                <w:b/>
                <w:szCs w:val="21"/>
              </w:rPr>
            </w:pPr>
          </w:p>
        </w:tc>
        <w:tc>
          <w:tcPr>
            <w:tcW w:w="1270" w:type="dxa"/>
            <w:tcBorders>
              <w:top w:val="single" w:color="auto" w:sz="4" w:space="0"/>
              <w:left w:val="nil"/>
              <w:bottom w:val="single" w:color="auto" w:sz="4" w:space="0"/>
              <w:right w:val="single" w:color="auto" w:sz="4" w:space="0"/>
            </w:tcBorders>
            <w:vAlign w:val="center"/>
          </w:tcPr>
          <w:p w14:paraId="4FA8FC10">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20DAD5FE">
            <w:pPr>
              <w:wordWrap w:val="0"/>
              <w:spacing w:line="360" w:lineRule="auto"/>
              <w:jc w:val="center"/>
              <w:textAlignment w:val="baseline"/>
              <w:rPr>
                <w:bCs/>
              </w:rPr>
            </w:pPr>
            <w:r>
              <w:rPr>
                <w:rFonts w:hint="eastAsia"/>
                <w:bCs/>
              </w:rPr>
              <w:t>2.3课程建设方案（满分9）</w:t>
            </w:r>
          </w:p>
        </w:tc>
        <w:tc>
          <w:tcPr>
            <w:tcW w:w="7187" w:type="dxa"/>
            <w:tcBorders>
              <w:top w:val="single" w:color="auto" w:sz="4" w:space="0"/>
              <w:left w:val="single" w:color="auto" w:sz="4" w:space="0"/>
              <w:bottom w:val="single" w:color="auto" w:sz="4" w:space="0"/>
              <w:right w:val="single" w:color="auto" w:sz="4" w:space="0"/>
            </w:tcBorders>
            <w:vAlign w:val="center"/>
          </w:tcPr>
          <w:p w14:paraId="0650457F">
            <w:pPr>
              <w:widowControl/>
              <w:spacing w:line="400" w:lineRule="exact"/>
              <w:ind w:firstLine="420" w:firstLineChars="200"/>
              <w:rPr>
                <w:rFonts w:hint="eastAsia" w:ascii="宋体" w:hAnsi="宋体" w:cs="宋体"/>
                <w:szCs w:val="21"/>
              </w:rPr>
            </w:pPr>
            <w:r>
              <w:rPr>
                <w:rFonts w:hint="eastAsia" w:ascii="宋体" w:hAnsi="宋体" w:cs="宋体"/>
                <w:szCs w:val="21"/>
              </w:rPr>
              <w:t>一档（3分）：课程建设方案满足采购需求，内容简单。</w:t>
            </w:r>
          </w:p>
          <w:p w14:paraId="5086D2E8">
            <w:pPr>
              <w:widowControl/>
              <w:spacing w:line="400" w:lineRule="exact"/>
              <w:ind w:firstLine="420" w:firstLineChars="200"/>
              <w:rPr>
                <w:rFonts w:hint="eastAsia" w:ascii="宋体" w:hAnsi="宋体" w:cs="宋体"/>
                <w:szCs w:val="21"/>
              </w:rPr>
            </w:pPr>
            <w:r>
              <w:rPr>
                <w:rFonts w:hint="eastAsia" w:ascii="宋体" w:hAnsi="宋体" w:cs="宋体"/>
                <w:szCs w:val="21"/>
              </w:rPr>
              <w:t>二档（6分）：课程建设方案满足采购需求，有课程建设计划安排，课程建设课时次数能确保采购人能掌握基本操作技能，有专业的课程建设人员。</w:t>
            </w:r>
          </w:p>
          <w:p w14:paraId="5F55E9D8">
            <w:pPr>
              <w:widowControl/>
              <w:spacing w:line="400" w:lineRule="exact"/>
              <w:ind w:firstLine="420" w:firstLineChars="200"/>
              <w:rPr>
                <w:rFonts w:hint="eastAsia" w:ascii="宋体" w:hAnsi="宋体" w:cs="宋体"/>
                <w:szCs w:val="21"/>
              </w:rPr>
            </w:pPr>
            <w:r>
              <w:rPr>
                <w:rFonts w:hint="eastAsia" w:ascii="宋体" w:hAnsi="宋体" w:cs="宋体"/>
                <w:szCs w:val="21"/>
              </w:rPr>
              <w:t xml:space="preserve">三档（9分）：课程建设的服务内容和措施完善，有专业的课程建设人员，课程建设方式兼顾远程、现场等方式，有详细的课程建设计划安排，课程建设内容全面详实，课程建设内容针对性强，课程建设课时充足。 </w:t>
            </w:r>
          </w:p>
          <w:p w14:paraId="7DF8DBF5">
            <w:pPr>
              <w:spacing w:line="410" w:lineRule="exact"/>
              <w:ind w:firstLine="426" w:firstLineChars="202"/>
              <w:rPr>
                <w:rFonts w:hint="eastAsia" w:ascii="宋体" w:hAnsi="宋体"/>
                <w:szCs w:val="21"/>
              </w:rPr>
            </w:pPr>
            <w:r>
              <w:rPr>
                <w:rFonts w:hint="eastAsia" w:ascii="宋体" w:hAnsi="宋体" w:cs="宋体"/>
                <w:b/>
                <w:bCs/>
                <w:szCs w:val="21"/>
              </w:rPr>
              <w:t>注：未提供方案或提供的内容与本项目无关的得0分。</w:t>
            </w:r>
          </w:p>
        </w:tc>
      </w:tr>
      <w:tr w14:paraId="7C727DA1">
        <w:tblPrEx>
          <w:tblCellMar>
            <w:top w:w="0" w:type="dxa"/>
            <w:left w:w="108" w:type="dxa"/>
            <w:bottom w:w="0" w:type="dxa"/>
            <w:right w:w="108" w:type="dxa"/>
          </w:tblCellMar>
        </w:tblPrEx>
        <w:trPr>
          <w:trHeight w:val="416"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619B30DE">
            <w:pPr>
              <w:wordWrap w:val="0"/>
              <w:spacing w:line="360" w:lineRule="auto"/>
              <w:jc w:val="center"/>
              <w:rPr>
                <w:rFonts w:hint="eastAsia" w:ascii="宋体" w:hAnsi="宋体" w:cs="宋体"/>
                <w:b/>
                <w:szCs w:val="21"/>
              </w:rPr>
            </w:pPr>
            <w:r>
              <w:rPr>
                <w:rFonts w:hint="eastAsia" w:ascii="宋体" w:hAnsi="宋体" w:cs="宋体"/>
                <w:b/>
                <w:szCs w:val="21"/>
              </w:rPr>
              <w:t>3</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19AEA27F">
            <w:pPr>
              <w:wordWrap w:val="0"/>
              <w:spacing w:line="360" w:lineRule="auto"/>
              <w:jc w:val="center"/>
              <w:rPr>
                <w:rFonts w:hint="eastAsia" w:ascii="宋体" w:hAnsi="宋体" w:cs="宋体"/>
                <w:szCs w:val="21"/>
              </w:rPr>
            </w:pPr>
            <w:r>
              <w:rPr>
                <w:rFonts w:hint="eastAsia" w:ascii="宋体" w:hAnsi="宋体" w:cs="宋体"/>
                <w:szCs w:val="21"/>
              </w:rPr>
              <w:t>商务分（16分）</w:t>
            </w: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5B9CA08D">
            <w:pPr>
              <w:pStyle w:val="11"/>
              <w:wordWrap w:val="0"/>
              <w:spacing w:line="360" w:lineRule="auto"/>
              <w:jc w:val="center"/>
              <w:rPr>
                <w:rFonts w:hint="eastAsia" w:hAnsi="宋体" w:cs="宋体"/>
              </w:rPr>
            </w:pPr>
            <w:r>
              <w:rPr>
                <w:rFonts w:hint="eastAsia" w:hAnsi="宋体" w:cs="宋体"/>
              </w:rPr>
              <w:t>3.1售后服务分</w:t>
            </w:r>
          </w:p>
          <w:p w14:paraId="22C826D4">
            <w:pPr>
              <w:pStyle w:val="11"/>
              <w:wordWrap w:val="0"/>
              <w:spacing w:line="360" w:lineRule="auto"/>
              <w:jc w:val="center"/>
              <w:rPr>
                <w:rFonts w:hint="eastAsia" w:hAnsi="宋体" w:cs="宋体"/>
              </w:rPr>
            </w:pPr>
            <w:r>
              <w:rPr>
                <w:rFonts w:hint="eastAsia" w:hAnsi="宋体" w:cs="宋体"/>
              </w:rPr>
              <w:t>（满分9分）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386522D">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根据投标人提供的售后服务方案的内容(包含但不限于：到达故障现场时间、故障出现解决方案，定期维护(注明时间)、技术培训方案、质保期外维修方案、本地化售后服务措施、其它优惠方案等方面) 由评委在相应的档次内独立打分。</w:t>
            </w:r>
          </w:p>
          <w:p w14:paraId="030B8D46">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一档（3分）：售后服务方案内容完全满足招标文件售后服务要求；</w:t>
            </w:r>
          </w:p>
          <w:p w14:paraId="6D3772E5">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二档（6分）：在满足招标文件的基础上，应急服务方案、故障维护方案较详细；能实现2小时内专业人员到达现场修理，一般故障处理时限不超过8小时，重大故障处理时限不超过24小时修复；对设备在使用过程中可能出现的问题进行分析并提出针对性解决办法，分别针对产品软件和硬件提出明确的质保期内和质保期外的售后承诺和措施；</w:t>
            </w:r>
          </w:p>
          <w:p w14:paraId="033FAB71">
            <w:pPr>
              <w:pStyle w:val="3"/>
              <w:keepNext w:val="0"/>
              <w:keepLines w:val="0"/>
              <w:wordWrap w:val="0"/>
              <w:spacing w:before="0" w:after="0" w:line="360" w:lineRule="auto"/>
              <w:ind w:firstLine="420" w:firstLineChars="200"/>
              <w:rPr>
                <w:rFonts w:hint="eastAsia" w:ascii="宋体" w:hAnsi="宋体" w:eastAsia="宋体" w:cs="宋体"/>
                <w:b w:val="0"/>
                <w:sz w:val="21"/>
                <w:szCs w:val="21"/>
              </w:rPr>
            </w:pPr>
            <w:r>
              <w:rPr>
                <w:rFonts w:hint="eastAsia" w:ascii="宋体" w:hAnsi="宋体" w:eastAsia="宋体" w:cs="宋体"/>
                <w:b w:val="0"/>
                <w:sz w:val="21"/>
                <w:szCs w:val="21"/>
              </w:rPr>
              <w:t>三档（9分）：售后服务方案优于招标文件要求，服务内容、保障措施完善、有针对性；有详尽的培训方案、应急保障方案和服务响应体系，定期回访维护，保修期外零配件优惠；具有完整可靠的售后服务团队，售后服务人员经验丰富，能实现1小时内专业人员到达现场修理，一般故障处理时限不超过4小时，重大故障处理时限不超过12小时修复，无法排除故障时2日内提供替换产品；运维工作7×24小时响应，定期回访一年不少于2次，售后服务维修人员不少于2人，并提供有联系电话。</w:t>
            </w:r>
          </w:p>
          <w:p w14:paraId="3CA0B5FD">
            <w:pPr>
              <w:ind w:firstLine="422" w:firstLineChars="200"/>
            </w:pPr>
            <w:r>
              <w:rPr>
                <w:rFonts w:hint="eastAsia" w:ascii="宋体" w:hAnsi="宋体" w:cs="宋体"/>
                <w:b/>
                <w:bCs/>
                <w:szCs w:val="21"/>
              </w:rPr>
              <w:t>注：未提供方案或提供的内容与本项目无关的得0分。</w:t>
            </w:r>
          </w:p>
        </w:tc>
      </w:tr>
      <w:tr w14:paraId="42EBAD12">
        <w:tblPrEx>
          <w:tblCellMar>
            <w:top w:w="0" w:type="dxa"/>
            <w:left w:w="108" w:type="dxa"/>
            <w:bottom w:w="0" w:type="dxa"/>
            <w:right w:w="108" w:type="dxa"/>
          </w:tblCellMar>
        </w:tblPrEx>
        <w:trPr>
          <w:trHeight w:val="4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4F4A8EB6">
            <w:pPr>
              <w:wordWrap w:val="0"/>
              <w:spacing w:line="360" w:lineRule="auto"/>
              <w:rPr>
                <w:rFonts w:hint="eastAsia"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7A51B474">
            <w:pPr>
              <w:wordWrap w:val="0"/>
              <w:spacing w:line="360" w:lineRule="auto"/>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B84CC44">
            <w:pPr>
              <w:pStyle w:val="11"/>
              <w:wordWrap w:val="0"/>
              <w:spacing w:line="360" w:lineRule="auto"/>
              <w:jc w:val="center"/>
              <w:rPr>
                <w:rFonts w:hint="eastAsia" w:hAnsi="宋体" w:cs="宋体"/>
              </w:rPr>
            </w:pPr>
            <w:r>
              <w:rPr>
                <w:rFonts w:hint="eastAsia" w:hAnsi="宋体" w:cs="宋体"/>
              </w:rPr>
              <w:t>3.2业绩分（满分5分）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09D0593">
            <w:pPr>
              <w:pStyle w:val="3"/>
              <w:keepNext w:val="0"/>
              <w:keepLines w:val="0"/>
              <w:wordWrap w:val="0"/>
              <w:spacing w:before="0" w:after="0" w:line="360" w:lineRule="auto"/>
              <w:rPr>
                <w:rFonts w:hint="eastAsia" w:hAnsi="宋体" w:cs="宋体"/>
                <w:sz w:val="21"/>
              </w:rPr>
            </w:pPr>
            <w:r>
              <w:rPr>
                <w:rFonts w:hint="eastAsia" w:ascii="宋体" w:hAnsi="宋体" w:eastAsia="宋体" w:cs="宋体"/>
                <w:b w:val="0"/>
                <w:sz w:val="21"/>
                <w:szCs w:val="21"/>
              </w:rPr>
              <w:t>投标人自2021年6月1日以来具有同类项目业绩的，以合同或中标（成交）通知书复印件为准，每份得1分，满分5分。</w:t>
            </w:r>
          </w:p>
        </w:tc>
      </w:tr>
      <w:tr w14:paraId="4B2E3D5E">
        <w:tblPrEx>
          <w:tblCellMar>
            <w:top w:w="0" w:type="dxa"/>
            <w:left w:w="108" w:type="dxa"/>
            <w:bottom w:w="0" w:type="dxa"/>
            <w:right w:w="108" w:type="dxa"/>
          </w:tblCellMar>
        </w:tblPrEx>
        <w:trPr>
          <w:trHeight w:val="4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665B6F1E">
            <w:pPr>
              <w:wordWrap w:val="0"/>
              <w:spacing w:line="360" w:lineRule="auto"/>
              <w:rPr>
                <w:rFonts w:hint="eastAsia"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5CC2BB19">
            <w:pPr>
              <w:wordWrap w:val="0"/>
              <w:spacing w:line="360" w:lineRule="auto"/>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59088D2">
            <w:pPr>
              <w:wordWrap w:val="0"/>
              <w:spacing w:line="360" w:lineRule="auto"/>
              <w:jc w:val="center"/>
              <w:rPr>
                <w:rFonts w:hint="eastAsia" w:ascii="宋体" w:hAnsi="宋体" w:cs="宋体"/>
                <w:szCs w:val="21"/>
              </w:rPr>
            </w:pPr>
            <w:r>
              <w:rPr>
                <w:rFonts w:hint="eastAsia" w:ascii="宋体" w:hAnsi="宋体" w:cs="宋体"/>
                <w:szCs w:val="21"/>
              </w:rPr>
              <w:t>政策分（满分</w:t>
            </w:r>
          </w:p>
          <w:p w14:paraId="04DDB8DC">
            <w:pPr>
              <w:pStyle w:val="11"/>
              <w:wordWrap w:val="0"/>
              <w:spacing w:line="360" w:lineRule="auto"/>
              <w:jc w:val="center"/>
              <w:rPr>
                <w:rFonts w:hint="eastAsia" w:hAnsi="宋体" w:cs="宋体"/>
              </w:rPr>
            </w:pPr>
            <w:r>
              <w:rPr>
                <w:rFonts w:hint="eastAsia" w:hAnsi="宋体" w:cs="宋体"/>
                <w:u w:val="single"/>
              </w:rPr>
              <w:t>2</w:t>
            </w:r>
            <w:r>
              <w:rPr>
                <w:rFonts w:hint="eastAsia" w:hAnsi="宋体" w:cs="宋体"/>
              </w:rPr>
              <w:t>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90977DC">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b w:val="0"/>
                <w:sz w:val="21"/>
                <w:szCs w:val="21"/>
              </w:rPr>
              <w:t>（1）属于财政部《节能产品政府采购品目清单》内优先采购（清单内未标注“★”的品目）的产品[投标文件中提供有效的认证证书复印件及品目清单（标注出投标产品在品目清单中所属的品目），并加盖投标人</w:t>
            </w:r>
            <w:r>
              <w:rPr>
                <w:rFonts w:hint="eastAsia" w:ascii="宋体" w:hAnsi="宋体" w:eastAsia="宋体" w:cs="宋体"/>
                <w:b w:val="0"/>
                <w:sz w:val="21"/>
                <w:szCs w:val="21"/>
                <w:lang w:val="en-US" w:eastAsia="zh-CN"/>
              </w:rPr>
              <w:t>电子签章</w:t>
            </w:r>
            <w:r>
              <w:rPr>
                <w:rFonts w:hint="eastAsia" w:ascii="宋体" w:hAnsi="宋体" w:eastAsia="宋体" w:cs="宋体"/>
                <w:b w:val="0"/>
                <w:sz w:val="21"/>
                <w:szCs w:val="21"/>
              </w:rPr>
              <w:t>]，每项得1分，满分1分。</w:t>
            </w:r>
          </w:p>
          <w:p w14:paraId="0B4805A5">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b w:val="0"/>
                <w:sz w:val="21"/>
                <w:szCs w:val="21"/>
              </w:rPr>
              <w:t>（2）属于财政部《环境标志产品政府采购品目清单》内的产品[投标文件中提供有效的认证证书复印件及品目清单（标注出投标产品在品目清单中所属的品目），并加盖投标人</w:t>
            </w:r>
            <w:r>
              <w:rPr>
                <w:rFonts w:hint="eastAsia" w:ascii="宋体" w:hAnsi="宋体" w:eastAsia="宋体" w:cs="宋体"/>
                <w:b w:val="0"/>
                <w:sz w:val="21"/>
                <w:szCs w:val="21"/>
                <w:lang w:val="en-US" w:eastAsia="zh-CN"/>
              </w:rPr>
              <w:t>电子签章</w:t>
            </w:r>
            <w:r>
              <w:rPr>
                <w:rFonts w:hint="eastAsia" w:ascii="宋体" w:hAnsi="宋体" w:eastAsia="宋体" w:cs="宋体"/>
                <w:b w:val="0"/>
                <w:sz w:val="21"/>
                <w:szCs w:val="21"/>
              </w:rPr>
              <w:t>]，每项得1分，满分1分；</w:t>
            </w:r>
          </w:p>
          <w:p w14:paraId="650D52CC">
            <w:pPr>
              <w:pStyle w:val="3"/>
              <w:keepNext w:val="0"/>
              <w:keepLines w:val="0"/>
              <w:wordWrap w:val="0"/>
              <w:spacing w:before="0" w:after="0" w:line="360" w:lineRule="auto"/>
              <w:rPr>
                <w:rFonts w:hint="eastAsia" w:hAnsi="宋体" w:cs="宋体"/>
                <w:sz w:val="21"/>
              </w:rPr>
            </w:pPr>
            <w:r>
              <w:rPr>
                <w:rFonts w:hint="eastAsia" w:ascii="宋体" w:hAnsi="宋体" w:eastAsia="宋体" w:cs="宋体"/>
                <w:b w:val="0"/>
                <w:sz w:val="21"/>
                <w:szCs w:val="21"/>
              </w:rPr>
              <w:t>（3）非节能、环境标志产品的不得分。</w:t>
            </w:r>
          </w:p>
        </w:tc>
      </w:tr>
      <w:tr w14:paraId="1F7942D8">
        <w:tblPrEx>
          <w:tblCellMar>
            <w:top w:w="0" w:type="dxa"/>
            <w:left w:w="108" w:type="dxa"/>
            <w:bottom w:w="0" w:type="dxa"/>
            <w:right w:w="108" w:type="dxa"/>
          </w:tblCellMar>
        </w:tblPrEx>
        <w:trPr>
          <w:trHeight w:val="416" w:hRule="atLeast"/>
          <w:jc w:val="center"/>
        </w:trPr>
        <w:tc>
          <w:tcPr>
            <w:tcW w:w="10359" w:type="dxa"/>
            <w:gridSpan w:val="4"/>
            <w:tcBorders>
              <w:top w:val="single" w:color="auto" w:sz="4" w:space="0"/>
              <w:left w:val="single" w:color="auto" w:sz="4" w:space="0"/>
              <w:bottom w:val="single" w:color="auto" w:sz="4" w:space="0"/>
              <w:right w:val="single" w:color="auto" w:sz="4" w:space="0"/>
            </w:tcBorders>
            <w:vAlign w:val="center"/>
          </w:tcPr>
          <w:p w14:paraId="47F51025">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sz w:val="21"/>
                <w:szCs w:val="21"/>
              </w:rPr>
              <w:t>总得分=</w:t>
            </w:r>
            <w:r>
              <w:rPr>
                <w:rFonts w:hint="eastAsia" w:ascii="宋体" w:hAnsi="宋体" w:cs="宋体"/>
                <w:sz w:val="21"/>
                <w:szCs w:val="21"/>
              </w:rPr>
              <w:t>1+2+3</w:t>
            </w:r>
          </w:p>
        </w:tc>
      </w:tr>
    </w:tbl>
    <w:p w14:paraId="77D71975">
      <w:pPr>
        <w:pStyle w:val="12"/>
        <w:sectPr>
          <w:pgSz w:w="11906" w:h="16838"/>
          <w:pgMar w:top="1440" w:right="1440" w:bottom="1440" w:left="1440" w:header="851" w:footer="992" w:gutter="0"/>
          <w:cols w:space="720" w:num="1"/>
          <w:docGrid w:linePitch="312" w:charSpace="0"/>
        </w:sectPr>
      </w:pPr>
    </w:p>
    <w:p w14:paraId="28D6689E">
      <w:pPr>
        <w:pStyle w:val="12"/>
      </w:pPr>
    </w:p>
    <w:tbl>
      <w:tblPr>
        <w:tblStyle w:val="17"/>
        <w:tblW w:w="10359" w:type="dxa"/>
        <w:jc w:val="center"/>
        <w:tblLayout w:type="fixed"/>
        <w:tblCellMar>
          <w:top w:w="0" w:type="dxa"/>
          <w:left w:w="108" w:type="dxa"/>
          <w:bottom w:w="0" w:type="dxa"/>
          <w:right w:w="108" w:type="dxa"/>
        </w:tblCellMar>
      </w:tblPr>
      <w:tblGrid>
        <w:gridCol w:w="737"/>
        <w:gridCol w:w="1270"/>
        <w:gridCol w:w="1165"/>
        <w:gridCol w:w="7187"/>
      </w:tblGrid>
      <w:tr w14:paraId="53710C44">
        <w:tblPrEx>
          <w:tblCellMar>
            <w:top w:w="0" w:type="dxa"/>
            <w:left w:w="108" w:type="dxa"/>
            <w:bottom w:w="0" w:type="dxa"/>
            <w:right w:w="108" w:type="dxa"/>
          </w:tblCellMar>
        </w:tblPrEx>
        <w:trPr>
          <w:tblHeader/>
          <w:jc w:val="center"/>
        </w:trPr>
        <w:tc>
          <w:tcPr>
            <w:tcW w:w="10359" w:type="dxa"/>
            <w:gridSpan w:val="4"/>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44783AB5">
            <w:pPr>
              <w:wordWrap w:val="0"/>
              <w:spacing w:line="360" w:lineRule="auto"/>
              <w:jc w:val="center"/>
              <w:textAlignment w:val="baseline"/>
              <w:rPr>
                <w:rFonts w:hint="eastAsia" w:ascii="宋体" w:hAnsi="宋体" w:cs="宋体"/>
                <w:b/>
                <w:szCs w:val="21"/>
              </w:rPr>
            </w:pPr>
            <w:r>
              <w:rPr>
                <w:rFonts w:hint="eastAsia" w:ascii="宋体" w:hAnsi="宋体" w:cs="宋体"/>
                <w:b/>
                <w:szCs w:val="21"/>
              </w:rPr>
              <w:t>4分标</w:t>
            </w:r>
          </w:p>
        </w:tc>
      </w:tr>
      <w:tr w14:paraId="266FAAE2">
        <w:tblPrEx>
          <w:tblCellMar>
            <w:top w:w="0" w:type="dxa"/>
            <w:left w:w="108" w:type="dxa"/>
            <w:bottom w:w="0" w:type="dxa"/>
            <w:right w:w="108" w:type="dxa"/>
          </w:tblCellMar>
        </w:tblPrEx>
        <w:trPr>
          <w:tblHeader/>
          <w:jc w:val="center"/>
        </w:trPr>
        <w:tc>
          <w:tcPr>
            <w:tcW w:w="737"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32F076BA">
            <w:pPr>
              <w:wordWrap w:val="0"/>
              <w:spacing w:line="360" w:lineRule="auto"/>
              <w:jc w:val="center"/>
              <w:textAlignment w:val="baseline"/>
              <w:rPr>
                <w:rFonts w:hint="eastAsia" w:ascii="宋体" w:hAnsi="宋体" w:cs="宋体"/>
                <w:szCs w:val="21"/>
              </w:rPr>
            </w:pPr>
            <w:r>
              <w:rPr>
                <w:rFonts w:hint="eastAsia" w:ascii="宋体" w:hAnsi="宋体" w:cs="宋体"/>
                <w:b/>
                <w:szCs w:val="21"/>
              </w:rPr>
              <w:t>序号</w:t>
            </w:r>
          </w:p>
        </w:tc>
        <w:tc>
          <w:tcPr>
            <w:tcW w:w="1270" w:type="dxa"/>
            <w:tcBorders>
              <w:top w:val="single" w:color="auto" w:sz="4" w:space="0"/>
              <w:left w:val="single" w:color="auto" w:sz="4" w:space="0"/>
              <w:bottom w:val="single" w:color="auto" w:sz="4" w:space="0"/>
              <w:right w:val="single" w:color="auto" w:sz="4" w:space="0"/>
            </w:tcBorders>
            <w:shd w:val="clear" w:color="auto" w:fill="E3F1D9" w:themeFill="accent4" w:themeFillTint="33"/>
            <w:vAlign w:val="center"/>
          </w:tcPr>
          <w:p w14:paraId="4E07983C">
            <w:pPr>
              <w:wordWrap w:val="0"/>
              <w:spacing w:line="360" w:lineRule="auto"/>
              <w:jc w:val="center"/>
              <w:textAlignment w:val="baseline"/>
              <w:rPr>
                <w:rFonts w:hint="eastAsia" w:ascii="宋体" w:hAnsi="宋体" w:cs="宋体"/>
                <w:b/>
                <w:szCs w:val="21"/>
              </w:rPr>
            </w:pPr>
            <w:r>
              <w:rPr>
                <w:rFonts w:hint="eastAsia" w:ascii="宋体" w:hAnsi="宋体" w:cs="宋体"/>
                <w:b/>
                <w:szCs w:val="21"/>
              </w:rPr>
              <w:t>评审事项</w:t>
            </w:r>
          </w:p>
        </w:tc>
        <w:tc>
          <w:tcPr>
            <w:tcW w:w="1165"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14680766">
            <w:pPr>
              <w:wordWrap w:val="0"/>
              <w:spacing w:line="360" w:lineRule="auto"/>
              <w:jc w:val="center"/>
              <w:textAlignment w:val="baseline"/>
              <w:rPr>
                <w:rFonts w:hint="eastAsia" w:ascii="宋体" w:hAnsi="宋体" w:cs="宋体"/>
                <w:szCs w:val="21"/>
              </w:rPr>
            </w:pPr>
            <w:r>
              <w:rPr>
                <w:rFonts w:hint="eastAsia" w:ascii="宋体" w:hAnsi="宋体" w:cs="宋体"/>
                <w:b/>
                <w:szCs w:val="21"/>
              </w:rPr>
              <w:t>评审因素</w:t>
            </w:r>
          </w:p>
        </w:tc>
        <w:tc>
          <w:tcPr>
            <w:tcW w:w="7187" w:type="dxa"/>
            <w:tcBorders>
              <w:top w:val="single" w:color="auto" w:sz="4" w:space="0"/>
              <w:left w:val="nil"/>
              <w:bottom w:val="single" w:color="auto" w:sz="4" w:space="0"/>
              <w:right w:val="single" w:color="auto" w:sz="4" w:space="0"/>
            </w:tcBorders>
            <w:shd w:val="clear" w:color="auto" w:fill="E3F1D9" w:themeFill="accent4" w:themeFillTint="33"/>
            <w:vAlign w:val="center"/>
          </w:tcPr>
          <w:p w14:paraId="75F0801C">
            <w:pPr>
              <w:wordWrap w:val="0"/>
              <w:spacing w:line="360" w:lineRule="auto"/>
              <w:jc w:val="center"/>
              <w:textAlignment w:val="baseline"/>
              <w:rPr>
                <w:rFonts w:hint="eastAsia" w:ascii="宋体" w:hAnsi="宋体" w:cs="宋体"/>
                <w:szCs w:val="21"/>
              </w:rPr>
            </w:pPr>
            <w:r>
              <w:rPr>
                <w:rFonts w:hint="eastAsia" w:ascii="宋体" w:hAnsi="宋体" w:cs="宋体"/>
                <w:b/>
                <w:szCs w:val="21"/>
              </w:rPr>
              <w:t>评标标准</w:t>
            </w:r>
          </w:p>
        </w:tc>
      </w:tr>
      <w:tr w14:paraId="358D1B6C">
        <w:tblPrEx>
          <w:tblCellMar>
            <w:top w:w="0" w:type="dxa"/>
            <w:left w:w="108" w:type="dxa"/>
            <w:bottom w:w="0" w:type="dxa"/>
            <w:right w:w="108" w:type="dxa"/>
          </w:tblCellMar>
        </w:tblPrEx>
        <w:trPr>
          <w:trHeight w:val="2255"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4FB6B8E">
            <w:pPr>
              <w:wordWrap w:val="0"/>
              <w:spacing w:line="360" w:lineRule="auto"/>
              <w:jc w:val="center"/>
              <w:textAlignment w:val="baseline"/>
              <w:rPr>
                <w:rFonts w:hint="eastAsia" w:ascii="宋体" w:hAnsi="宋体" w:cs="宋体"/>
                <w:bCs/>
                <w:szCs w:val="21"/>
              </w:rPr>
            </w:pPr>
            <w:r>
              <w:rPr>
                <w:rFonts w:hint="eastAsia" w:ascii="宋体" w:hAnsi="宋体" w:cs="宋体"/>
                <w:bCs/>
                <w:szCs w:val="21"/>
              </w:rPr>
              <w:t>1</w:t>
            </w:r>
          </w:p>
        </w:tc>
        <w:tc>
          <w:tcPr>
            <w:tcW w:w="1270" w:type="dxa"/>
            <w:tcBorders>
              <w:top w:val="single" w:color="auto" w:sz="4" w:space="0"/>
              <w:left w:val="nil"/>
              <w:bottom w:val="single" w:color="auto" w:sz="4" w:space="0"/>
              <w:right w:val="single" w:color="auto" w:sz="4" w:space="0"/>
            </w:tcBorders>
            <w:vAlign w:val="center"/>
          </w:tcPr>
          <w:p w14:paraId="5C59FD0D">
            <w:pPr>
              <w:wordWrap w:val="0"/>
              <w:spacing w:line="360" w:lineRule="auto"/>
              <w:jc w:val="center"/>
              <w:textAlignment w:val="baseline"/>
              <w:rPr>
                <w:rFonts w:hint="eastAsia" w:ascii="宋体" w:hAnsi="宋体" w:cs="宋体"/>
                <w:bCs/>
                <w:szCs w:val="21"/>
              </w:rPr>
            </w:pPr>
            <w:r>
              <w:rPr>
                <w:rFonts w:hint="eastAsia" w:ascii="宋体" w:hAnsi="宋体" w:cs="宋体"/>
                <w:bCs/>
                <w:szCs w:val="21"/>
              </w:rPr>
              <w:t>价格分</w:t>
            </w:r>
          </w:p>
          <w:p w14:paraId="034DCD18">
            <w:pPr>
              <w:wordWrap w:val="0"/>
              <w:spacing w:line="360" w:lineRule="auto"/>
              <w:jc w:val="left"/>
              <w:textAlignment w:val="baseline"/>
              <w:rPr>
                <w:rFonts w:hint="eastAsia" w:ascii="宋体" w:hAnsi="宋体" w:cs="宋体"/>
                <w:bCs/>
                <w:szCs w:val="21"/>
              </w:rPr>
            </w:pPr>
            <w:r>
              <w:rPr>
                <w:rFonts w:hint="eastAsia" w:ascii="宋体" w:hAnsi="宋体" w:cs="宋体"/>
                <w:bCs/>
                <w:szCs w:val="21"/>
              </w:rPr>
              <w:t>（满分</w:t>
            </w:r>
            <w:r>
              <w:rPr>
                <w:rFonts w:hint="eastAsia" w:ascii="宋体" w:hAnsi="宋体" w:cs="宋体"/>
                <w:bCs/>
                <w:szCs w:val="21"/>
                <w:u w:val="single"/>
              </w:rPr>
              <w:t>30</w:t>
            </w:r>
            <w:r>
              <w:rPr>
                <w:rFonts w:hint="eastAsia" w:ascii="宋体" w:hAnsi="宋体" w:cs="宋体"/>
                <w:bCs/>
                <w:szCs w:val="21"/>
              </w:rPr>
              <w:t>分）</w:t>
            </w:r>
          </w:p>
        </w:tc>
        <w:tc>
          <w:tcPr>
            <w:tcW w:w="1165" w:type="dxa"/>
            <w:tcBorders>
              <w:top w:val="single" w:color="auto" w:sz="4" w:space="0"/>
              <w:left w:val="nil"/>
              <w:bottom w:val="single" w:color="auto" w:sz="4" w:space="0"/>
              <w:right w:val="single" w:color="auto" w:sz="4" w:space="0"/>
            </w:tcBorders>
            <w:vAlign w:val="center"/>
          </w:tcPr>
          <w:p w14:paraId="5AC1BE60">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投标报价</w:t>
            </w:r>
          </w:p>
        </w:tc>
        <w:tc>
          <w:tcPr>
            <w:tcW w:w="7187" w:type="dxa"/>
            <w:tcBorders>
              <w:top w:val="single" w:color="auto" w:sz="4" w:space="0"/>
              <w:left w:val="nil"/>
              <w:bottom w:val="single" w:color="auto" w:sz="4" w:space="0"/>
              <w:right w:val="single" w:color="auto" w:sz="4" w:space="0"/>
            </w:tcBorders>
            <w:vAlign w:val="center"/>
          </w:tcPr>
          <w:p w14:paraId="55B14C9B">
            <w:pPr>
              <w:spacing w:line="560" w:lineRule="exact"/>
              <w:jc w:val="left"/>
              <w:rPr>
                <w:rFonts w:ascii="Arial" w:hAnsi="Arial" w:cs="Arial"/>
                <w:kern w:val="0"/>
                <w:szCs w:val="21"/>
              </w:rPr>
            </w:pPr>
            <w:r>
              <w:rPr>
                <w:rFonts w:hint="eastAsia" w:ascii="Arial" w:hAnsi="Arial" w:cs="Arial"/>
                <w:kern w:val="0"/>
                <w:szCs w:val="21"/>
              </w:rPr>
              <w:t>1.</w:t>
            </w:r>
            <w:r>
              <w:rPr>
                <w:rFonts w:ascii="Arial" w:hAnsi="Arial" w:cs="Arial"/>
                <w:b/>
                <w:bCs/>
                <w:kern w:val="0"/>
                <w:szCs w:val="21"/>
              </w:rPr>
              <w:t>专门面向</w:t>
            </w:r>
            <w:r>
              <w:rPr>
                <w:rFonts w:hint="eastAsia" w:ascii="Arial" w:hAnsi="Arial" w:cs="Arial"/>
                <w:b/>
                <w:bCs/>
                <w:kern w:val="0"/>
                <w:szCs w:val="21"/>
              </w:rPr>
              <w:t>小微</w:t>
            </w:r>
            <w:r>
              <w:rPr>
                <w:rFonts w:ascii="Arial" w:hAnsi="Arial" w:cs="Arial"/>
                <w:b/>
                <w:bCs/>
                <w:kern w:val="0"/>
                <w:szCs w:val="21"/>
              </w:rPr>
              <w:t>企业采购的项目或者采购包，不再执行价格评审优惠的扶持政策。</w:t>
            </w:r>
          </w:p>
          <w:p w14:paraId="0DD4BE16">
            <w:pPr>
              <w:spacing w:line="560" w:lineRule="exact"/>
              <w:jc w:val="left"/>
              <w:rPr>
                <w:rFonts w:hint="eastAsia" w:hAnsi="宋体" w:cs="宋体"/>
              </w:rPr>
            </w:pPr>
            <w:r>
              <w:rPr>
                <w:rFonts w:hint="eastAsia" w:ascii="Arial" w:hAnsi="Arial" w:cs="Arial"/>
                <w:kern w:val="0"/>
                <w:szCs w:val="21"/>
              </w:rPr>
              <w:t>2.以进入比较与评价环节的最低的投标报价为基准价，基准价得分为30分。3.价格分计算公式：报价得分=（基准价/供应商投标报价）×30分</w:t>
            </w:r>
          </w:p>
        </w:tc>
      </w:tr>
      <w:tr w14:paraId="1496B143">
        <w:tblPrEx>
          <w:tblCellMar>
            <w:top w:w="0" w:type="dxa"/>
            <w:left w:w="108" w:type="dxa"/>
            <w:bottom w:w="0" w:type="dxa"/>
            <w:right w:w="108" w:type="dxa"/>
          </w:tblCellMar>
        </w:tblPrEx>
        <w:trPr>
          <w:trHeight w:val="90" w:hRule="atLeast"/>
          <w:jc w:val="center"/>
        </w:trPr>
        <w:tc>
          <w:tcPr>
            <w:tcW w:w="737" w:type="dxa"/>
            <w:vMerge w:val="restart"/>
            <w:tcBorders>
              <w:top w:val="single" w:color="auto" w:sz="4" w:space="0"/>
              <w:left w:val="single" w:color="auto" w:sz="4" w:space="0"/>
              <w:right w:val="single" w:color="auto" w:sz="4" w:space="0"/>
            </w:tcBorders>
            <w:vAlign w:val="center"/>
          </w:tcPr>
          <w:p w14:paraId="0161D861">
            <w:pPr>
              <w:wordWrap w:val="0"/>
              <w:spacing w:line="360" w:lineRule="auto"/>
              <w:jc w:val="center"/>
              <w:textAlignment w:val="baseline"/>
              <w:rPr>
                <w:rFonts w:hint="eastAsia" w:ascii="宋体" w:hAnsi="宋体" w:cs="宋体"/>
                <w:b/>
                <w:szCs w:val="21"/>
              </w:rPr>
            </w:pPr>
            <w:r>
              <w:rPr>
                <w:rFonts w:hint="eastAsia" w:ascii="宋体" w:hAnsi="宋体" w:cs="宋体"/>
                <w:b/>
                <w:szCs w:val="21"/>
              </w:rPr>
              <w:t>2</w:t>
            </w:r>
          </w:p>
        </w:tc>
        <w:tc>
          <w:tcPr>
            <w:tcW w:w="1270" w:type="dxa"/>
            <w:vMerge w:val="restart"/>
            <w:tcBorders>
              <w:top w:val="single" w:color="auto" w:sz="4" w:space="0"/>
              <w:left w:val="single" w:color="auto" w:sz="4" w:space="0"/>
              <w:right w:val="single" w:color="auto" w:sz="4" w:space="0"/>
            </w:tcBorders>
            <w:vAlign w:val="center"/>
          </w:tcPr>
          <w:p w14:paraId="21B6A20F">
            <w:pPr>
              <w:wordWrap w:val="0"/>
              <w:spacing w:line="360" w:lineRule="auto"/>
              <w:jc w:val="center"/>
              <w:textAlignment w:val="baseline"/>
              <w:rPr>
                <w:rFonts w:hint="eastAsia" w:ascii="宋体" w:hAnsi="宋体" w:cs="宋体"/>
                <w:bCs/>
                <w:szCs w:val="21"/>
              </w:rPr>
            </w:pPr>
            <w:r>
              <w:rPr>
                <w:rFonts w:hint="eastAsia" w:ascii="宋体" w:hAnsi="宋体" w:cs="宋体"/>
                <w:bCs/>
                <w:szCs w:val="21"/>
              </w:rPr>
              <w:t>技术分</w:t>
            </w:r>
          </w:p>
          <w:p w14:paraId="7673E25A">
            <w:pPr>
              <w:wordWrap w:val="0"/>
              <w:spacing w:line="360" w:lineRule="auto"/>
              <w:jc w:val="center"/>
              <w:textAlignment w:val="baseline"/>
              <w:rPr>
                <w:rFonts w:hint="eastAsia" w:ascii="宋体" w:hAnsi="宋体" w:cs="宋体"/>
                <w:spacing w:val="-18"/>
                <w:szCs w:val="21"/>
              </w:rPr>
            </w:pPr>
            <w:r>
              <w:rPr>
                <w:rFonts w:hint="eastAsia" w:ascii="宋体" w:hAnsi="宋体" w:cs="宋体"/>
                <w:bCs/>
                <w:szCs w:val="21"/>
              </w:rPr>
              <w:t>（满分53分）</w:t>
            </w:r>
          </w:p>
        </w:tc>
        <w:tc>
          <w:tcPr>
            <w:tcW w:w="1165" w:type="dxa"/>
            <w:tcBorders>
              <w:top w:val="single" w:color="auto" w:sz="4" w:space="0"/>
              <w:left w:val="nil"/>
              <w:bottom w:val="single" w:color="auto" w:sz="4" w:space="0"/>
              <w:right w:val="single" w:color="auto" w:sz="4" w:space="0"/>
            </w:tcBorders>
            <w:vAlign w:val="center"/>
          </w:tcPr>
          <w:p w14:paraId="56BF9848">
            <w:pPr>
              <w:wordWrap w:val="0"/>
              <w:spacing w:line="360" w:lineRule="auto"/>
              <w:jc w:val="center"/>
              <w:textAlignment w:val="baseline"/>
              <w:rPr>
                <w:rFonts w:hint="eastAsia" w:ascii="宋体" w:hAnsi="宋体" w:cs="宋体"/>
                <w:szCs w:val="21"/>
              </w:rPr>
            </w:pPr>
            <w:r>
              <w:rPr>
                <w:rFonts w:hint="eastAsia" w:ascii="宋体" w:hAnsi="宋体" w:cs="宋体"/>
                <w:szCs w:val="21"/>
              </w:rPr>
              <w:t>2.1项目技术</w:t>
            </w:r>
            <w:r>
              <w:rPr>
                <w:rFonts w:hint="eastAsia"/>
                <w:szCs w:val="21"/>
              </w:rPr>
              <w:t>方案</w:t>
            </w:r>
            <w:r>
              <w:rPr>
                <w:szCs w:val="21"/>
              </w:rPr>
              <w:t>（满分</w:t>
            </w:r>
            <w:r>
              <w:rPr>
                <w:rFonts w:hint="eastAsia"/>
                <w:szCs w:val="21"/>
              </w:rPr>
              <w:t>24</w:t>
            </w:r>
            <w:r>
              <w:rPr>
                <w:szCs w:val="21"/>
              </w:rPr>
              <w:t>分）</w:t>
            </w:r>
          </w:p>
        </w:tc>
        <w:tc>
          <w:tcPr>
            <w:tcW w:w="7187" w:type="dxa"/>
            <w:tcBorders>
              <w:top w:val="single" w:color="auto" w:sz="4" w:space="0"/>
              <w:left w:val="nil"/>
              <w:bottom w:val="single" w:color="auto" w:sz="4" w:space="0"/>
              <w:right w:val="single" w:color="auto" w:sz="4" w:space="0"/>
            </w:tcBorders>
            <w:vAlign w:val="center"/>
          </w:tcPr>
          <w:p w14:paraId="0F41F4E0">
            <w:pPr>
              <w:wordWrap w:val="0"/>
              <w:spacing w:line="360" w:lineRule="auto"/>
              <w:ind w:firstLine="396" w:firstLineChars="200"/>
              <w:rPr>
                <w:rFonts w:hint="eastAsia" w:ascii="宋体" w:hAnsi="宋体" w:cs="宋体"/>
                <w:spacing w:val="-6"/>
                <w:szCs w:val="21"/>
              </w:rPr>
            </w:pPr>
            <w:r>
              <w:rPr>
                <w:rFonts w:hint="eastAsia" w:ascii="宋体" w:hAnsi="宋体" w:cs="宋体"/>
                <w:spacing w:val="-6"/>
                <w:szCs w:val="21"/>
              </w:rPr>
              <w:t>一档（8分）：投标的技术方案对项目的理解程度较为肤浅，提供的方案简单，基本满足招标要求。</w:t>
            </w:r>
          </w:p>
          <w:p w14:paraId="705BEC5F">
            <w:pPr>
              <w:wordWrap w:val="0"/>
              <w:spacing w:line="360" w:lineRule="auto"/>
              <w:ind w:firstLine="396" w:firstLineChars="200"/>
              <w:rPr>
                <w:rFonts w:hint="eastAsia" w:ascii="宋体" w:hAnsi="宋体" w:cs="宋体"/>
                <w:spacing w:val="-6"/>
                <w:szCs w:val="21"/>
              </w:rPr>
            </w:pPr>
            <w:r>
              <w:rPr>
                <w:rFonts w:hint="eastAsia" w:ascii="宋体" w:hAnsi="宋体" w:cs="宋体"/>
                <w:spacing w:val="-6"/>
                <w:szCs w:val="21"/>
              </w:rPr>
              <w:t>二档（16分）：投标的技术方案对项目的理解程度基本符合采购人要求，所提出的方案也较为详细，有对系统的总体设计思路、结构和内容较合理、科学、完整，较好满足招标要求，对项目建设要求有一定的针对性方案，虽然有重点，但整体方案不够系统。</w:t>
            </w:r>
          </w:p>
          <w:p w14:paraId="1187DECB">
            <w:pPr>
              <w:wordWrap w:val="0"/>
              <w:spacing w:line="360" w:lineRule="auto"/>
              <w:ind w:firstLine="396" w:firstLineChars="200"/>
              <w:rPr>
                <w:rFonts w:hint="eastAsia" w:ascii="宋体" w:hAnsi="宋体" w:cs="宋体"/>
                <w:spacing w:val="-6"/>
                <w:szCs w:val="21"/>
              </w:rPr>
            </w:pPr>
            <w:r>
              <w:rPr>
                <w:rFonts w:hint="eastAsia" w:ascii="宋体" w:hAnsi="宋体" w:cs="宋体"/>
                <w:spacing w:val="-6"/>
                <w:szCs w:val="21"/>
              </w:rPr>
              <w:t>三档（24分）：投标的技术方案对项目的理解程度很好，贴切用户需求，所提出的技术方案详细，有对系统现状分析、总体设计思路、系统总体规划等设计内容，所提出的系统建设方案具有良好的安全性、灵活性、可扩展性以及兼容性，对项目建设要求有详细的解决方案，重点突出可行，系统设计原则的开放性、先进性、实用性、经济性、可靠性、灵活性及可扩展性、模块化都强，且能较好地组织实施。</w:t>
            </w:r>
          </w:p>
          <w:p w14:paraId="247AC2FA">
            <w:pPr>
              <w:wordWrap w:val="0"/>
              <w:spacing w:line="360" w:lineRule="auto"/>
              <w:ind w:firstLine="422" w:firstLineChars="200"/>
              <w:rPr>
                <w:rFonts w:hint="eastAsia" w:ascii="宋体" w:hAnsi="宋体" w:cs="宋体"/>
                <w:spacing w:val="-6"/>
                <w:szCs w:val="21"/>
              </w:rPr>
            </w:pPr>
            <w:r>
              <w:rPr>
                <w:rFonts w:hint="eastAsia" w:ascii="宋体" w:hAnsi="宋体" w:cs="宋体"/>
                <w:b/>
                <w:bCs/>
                <w:szCs w:val="21"/>
              </w:rPr>
              <w:t>注：未提供方案或提供的内容与本项目无关的得0分。</w:t>
            </w:r>
          </w:p>
        </w:tc>
      </w:tr>
      <w:tr w14:paraId="13305C58">
        <w:tblPrEx>
          <w:tblCellMar>
            <w:top w:w="0" w:type="dxa"/>
            <w:left w:w="108" w:type="dxa"/>
            <w:bottom w:w="0" w:type="dxa"/>
            <w:right w:w="108" w:type="dxa"/>
          </w:tblCellMar>
        </w:tblPrEx>
        <w:trPr>
          <w:trHeight w:val="1032" w:hRule="atLeast"/>
          <w:jc w:val="center"/>
        </w:trPr>
        <w:tc>
          <w:tcPr>
            <w:tcW w:w="737" w:type="dxa"/>
            <w:vMerge w:val="continue"/>
            <w:tcBorders>
              <w:left w:val="single" w:color="auto" w:sz="4" w:space="0"/>
              <w:right w:val="single" w:color="auto" w:sz="4" w:space="0"/>
            </w:tcBorders>
            <w:vAlign w:val="center"/>
          </w:tcPr>
          <w:p w14:paraId="741B12E8">
            <w:pPr>
              <w:wordWrap w:val="0"/>
              <w:spacing w:line="360" w:lineRule="auto"/>
              <w:jc w:val="center"/>
              <w:textAlignment w:val="baseline"/>
              <w:rPr>
                <w:rFonts w:hint="eastAsia" w:ascii="宋体" w:hAnsi="宋体" w:cs="宋体"/>
                <w:b/>
                <w:szCs w:val="21"/>
              </w:rPr>
            </w:pPr>
          </w:p>
        </w:tc>
        <w:tc>
          <w:tcPr>
            <w:tcW w:w="1270" w:type="dxa"/>
            <w:vMerge w:val="continue"/>
            <w:tcBorders>
              <w:left w:val="single" w:color="auto" w:sz="4" w:space="0"/>
              <w:right w:val="single" w:color="auto" w:sz="4" w:space="0"/>
            </w:tcBorders>
            <w:vAlign w:val="center"/>
          </w:tcPr>
          <w:p w14:paraId="4DB137A1">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22B00451">
            <w:pPr>
              <w:adjustRightInd w:val="0"/>
              <w:spacing w:line="360" w:lineRule="exact"/>
              <w:jc w:val="center"/>
              <w:textAlignment w:val="baseline"/>
              <w:rPr>
                <w:bCs/>
              </w:rPr>
            </w:pPr>
            <w:r>
              <w:rPr>
                <w:rFonts w:hint="eastAsia" w:ascii="宋体" w:hAnsi="宋体" w:cs="宋体"/>
                <w:szCs w:val="21"/>
              </w:rPr>
              <w:t>2.2</w:t>
            </w:r>
            <w:r>
              <w:rPr>
                <w:rFonts w:hint="eastAsia"/>
                <w:bCs/>
              </w:rPr>
              <w:t>项目实施方案</w:t>
            </w:r>
          </w:p>
          <w:p w14:paraId="55A24F52">
            <w:pPr>
              <w:wordWrap w:val="0"/>
              <w:spacing w:line="360" w:lineRule="auto"/>
              <w:jc w:val="center"/>
              <w:textAlignment w:val="baseline"/>
              <w:rPr>
                <w:rFonts w:hint="eastAsia" w:ascii="宋体" w:hAnsi="宋体" w:cs="宋体"/>
                <w:szCs w:val="21"/>
              </w:rPr>
            </w:pPr>
            <w:r>
              <w:rPr>
                <w:rFonts w:hint="eastAsia"/>
                <w:bCs/>
              </w:rPr>
              <w:t>（</w:t>
            </w:r>
            <w:r>
              <w:rPr>
                <w:rFonts w:hint="eastAsia" w:hAnsi="宋体"/>
                <w:szCs w:val="21"/>
              </w:rPr>
              <w:t>满分</w:t>
            </w:r>
            <w:r>
              <w:rPr>
                <w:rFonts w:hint="eastAsia"/>
                <w:bCs/>
              </w:rPr>
              <w:t>18分）</w:t>
            </w:r>
          </w:p>
        </w:tc>
        <w:tc>
          <w:tcPr>
            <w:tcW w:w="7187" w:type="dxa"/>
            <w:tcBorders>
              <w:top w:val="single" w:color="auto" w:sz="4" w:space="0"/>
              <w:left w:val="single" w:color="auto" w:sz="4" w:space="0"/>
              <w:bottom w:val="single" w:color="auto" w:sz="4" w:space="0"/>
              <w:right w:val="single" w:color="auto" w:sz="4" w:space="0"/>
            </w:tcBorders>
            <w:vAlign w:val="center"/>
          </w:tcPr>
          <w:p w14:paraId="4EC9E9F6">
            <w:pPr>
              <w:spacing w:line="410" w:lineRule="exact"/>
              <w:ind w:firstLine="424" w:firstLineChars="202"/>
              <w:rPr>
                <w:rFonts w:hint="eastAsia" w:ascii="宋体" w:hAnsi="宋体" w:cs="宋体"/>
                <w:szCs w:val="21"/>
              </w:rPr>
            </w:pPr>
            <w:r>
              <w:rPr>
                <w:rFonts w:hint="eastAsia" w:ascii="宋体" w:hAnsi="宋体" w:cs="宋体"/>
                <w:szCs w:val="21"/>
              </w:rPr>
              <w:t>一档（5分）：提供项目实施方案，方案内容简单。</w:t>
            </w:r>
          </w:p>
          <w:p w14:paraId="33214ECC">
            <w:pPr>
              <w:spacing w:line="410" w:lineRule="exact"/>
              <w:ind w:firstLine="424" w:firstLineChars="202"/>
              <w:rPr>
                <w:rFonts w:hint="eastAsia" w:ascii="宋体" w:hAnsi="宋体" w:cs="宋体"/>
                <w:szCs w:val="21"/>
              </w:rPr>
            </w:pPr>
            <w:r>
              <w:rPr>
                <w:rFonts w:hint="eastAsia" w:ascii="宋体" w:hAnsi="宋体" w:cs="宋体"/>
                <w:szCs w:val="21"/>
              </w:rPr>
              <w:t>二档（10分）：项目实施方案具体，实施步骤和完成本项目的具体实施细则较全面、细致。</w:t>
            </w:r>
          </w:p>
          <w:p w14:paraId="1FD8A614">
            <w:pPr>
              <w:spacing w:line="410" w:lineRule="exact"/>
              <w:ind w:firstLine="424" w:firstLineChars="202"/>
              <w:rPr>
                <w:rFonts w:hint="eastAsia" w:ascii="宋体" w:hAnsi="宋体" w:cs="宋体"/>
                <w:szCs w:val="21"/>
              </w:rPr>
            </w:pPr>
            <w:r>
              <w:rPr>
                <w:rFonts w:hint="eastAsia" w:ascii="宋体" w:hAnsi="宋体" w:cs="宋体"/>
                <w:szCs w:val="21"/>
              </w:rPr>
              <w:t>三档（15分）：投标人能提供完整的项目实施方案，能详细说明项目实施组织机构、过程管理、提供技术人员名单、项目质量保证、交货期保证措施（交货进度的），职责分工明确，进度安排合理。</w:t>
            </w:r>
          </w:p>
          <w:p w14:paraId="5568090F">
            <w:pPr>
              <w:spacing w:line="410" w:lineRule="exact"/>
              <w:ind w:firstLine="426" w:firstLineChars="202"/>
              <w:rPr>
                <w:rFonts w:hint="eastAsia" w:ascii="宋体" w:hAnsi="宋体" w:cs="宋体"/>
                <w:szCs w:val="21"/>
              </w:rPr>
            </w:pPr>
            <w:r>
              <w:rPr>
                <w:rFonts w:hint="eastAsia" w:ascii="宋体" w:hAnsi="宋体" w:cs="宋体"/>
                <w:b/>
                <w:bCs/>
                <w:szCs w:val="21"/>
              </w:rPr>
              <w:t>注：未提供方案或提供的内容与本项目无关的得0分。</w:t>
            </w:r>
          </w:p>
        </w:tc>
      </w:tr>
      <w:tr w14:paraId="134F2A39">
        <w:tblPrEx>
          <w:tblCellMar>
            <w:top w:w="0" w:type="dxa"/>
            <w:left w:w="108" w:type="dxa"/>
            <w:bottom w:w="0" w:type="dxa"/>
            <w:right w:w="108" w:type="dxa"/>
          </w:tblCellMar>
        </w:tblPrEx>
        <w:trPr>
          <w:trHeight w:val="1032" w:hRule="atLeast"/>
          <w:jc w:val="center"/>
        </w:trPr>
        <w:tc>
          <w:tcPr>
            <w:tcW w:w="737" w:type="dxa"/>
            <w:vMerge w:val="continue"/>
            <w:tcBorders>
              <w:left w:val="single" w:color="auto" w:sz="4" w:space="0"/>
              <w:bottom w:val="single" w:color="auto" w:sz="4" w:space="0"/>
              <w:right w:val="single" w:color="auto" w:sz="4" w:space="0"/>
            </w:tcBorders>
            <w:vAlign w:val="center"/>
          </w:tcPr>
          <w:p w14:paraId="415351EB">
            <w:pPr>
              <w:wordWrap w:val="0"/>
              <w:spacing w:line="360" w:lineRule="auto"/>
              <w:jc w:val="center"/>
              <w:textAlignment w:val="baseline"/>
              <w:rPr>
                <w:rFonts w:hint="eastAsia" w:ascii="宋体" w:hAnsi="宋体" w:cs="宋体"/>
                <w:b/>
                <w:szCs w:val="21"/>
              </w:rPr>
            </w:pPr>
          </w:p>
        </w:tc>
        <w:tc>
          <w:tcPr>
            <w:tcW w:w="1270" w:type="dxa"/>
            <w:vMerge w:val="continue"/>
            <w:tcBorders>
              <w:left w:val="single" w:color="auto" w:sz="4" w:space="0"/>
              <w:bottom w:val="single" w:color="auto" w:sz="4" w:space="0"/>
              <w:right w:val="single" w:color="auto" w:sz="4" w:space="0"/>
            </w:tcBorders>
            <w:vAlign w:val="center"/>
          </w:tcPr>
          <w:p w14:paraId="347A75D2">
            <w:pPr>
              <w:wordWrap w:val="0"/>
              <w:spacing w:line="360" w:lineRule="auto"/>
              <w:jc w:val="center"/>
              <w:textAlignment w:val="baseline"/>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vAlign w:val="center"/>
          </w:tcPr>
          <w:p w14:paraId="5906BDC6">
            <w:pPr>
              <w:wordWrap w:val="0"/>
              <w:spacing w:line="360" w:lineRule="auto"/>
              <w:jc w:val="center"/>
              <w:textAlignment w:val="baseline"/>
              <w:rPr>
                <w:bCs/>
              </w:rPr>
            </w:pPr>
            <w:r>
              <w:rPr>
                <w:rFonts w:hint="eastAsia"/>
                <w:bCs/>
              </w:rPr>
              <w:t>2.3课程建设方案（满分11）</w:t>
            </w:r>
          </w:p>
        </w:tc>
        <w:tc>
          <w:tcPr>
            <w:tcW w:w="7187" w:type="dxa"/>
            <w:tcBorders>
              <w:top w:val="single" w:color="auto" w:sz="4" w:space="0"/>
              <w:left w:val="single" w:color="auto" w:sz="4" w:space="0"/>
              <w:bottom w:val="single" w:color="auto" w:sz="4" w:space="0"/>
              <w:right w:val="single" w:color="auto" w:sz="4" w:space="0"/>
            </w:tcBorders>
            <w:vAlign w:val="center"/>
          </w:tcPr>
          <w:p w14:paraId="72AB2F84">
            <w:pPr>
              <w:widowControl/>
              <w:spacing w:line="400" w:lineRule="exact"/>
              <w:ind w:firstLine="420" w:firstLineChars="200"/>
              <w:rPr>
                <w:rFonts w:hint="eastAsia" w:ascii="宋体" w:hAnsi="宋体" w:cs="宋体"/>
                <w:szCs w:val="21"/>
              </w:rPr>
            </w:pPr>
            <w:r>
              <w:rPr>
                <w:rFonts w:hint="eastAsia" w:ascii="宋体" w:hAnsi="宋体" w:cs="宋体"/>
                <w:szCs w:val="21"/>
              </w:rPr>
              <w:t>一档（4分）：课程建设方案满足采购需求，内容简单。</w:t>
            </w:r>
          </w:p>
          <w:p w14:paraId="2C4ACBF2">
            <w:pPr>
              <w:widowControl/>
              <w:spacing w:line="400" w:lineRule="exact"/>
              <w:ind w:firstLine="420" w:firstLineChars="200"/>
              <w:rPr>
                <w:rFonts w:hint="eastAsia" w:ascii="宋体" w:hAnsi="宋体" w:cs="宋体"/>
                <w:szCs w:val="21"/>
              </w:rPr>
            </w:pPr>
            <w:r>
              <w:rPr>
                <w:rFonts w:hint="eastAsia" w:ascii="宋体" w:hAnsi="宋体" w:cs="宋体"/>
                <w:szCs w:val="21"/>
              </w:rPr>
              <w:t>二档（8分）：课程建设方案满足采购需求，有课程建设计划安排，课程建设课时次数能确保采购人能掌握基本操作技能，有专业的课程建设人员。</w:t>
            </w:r>
          </w:p>
          <w:p w14:paraId="4C7ED975">
            <w:pPr>
              <w:widowControl/>
              <w:spacing w:line="400" w:lineRule="exact"/>
              <w:ind w:firstLine="420" w:firstLineChars="200"/>
              <w:rPr>
                <w:rFonts w:hint="eastAsia" w:ascii="宋体" w:hAnsi="宋体" w:cs="宋体"/>
                <w:szCs w:val="21"/>
              </w:rPr>
            </w:pPr>
            <w:r>
              <w:rPr>
                <w:rFonts w:hint="eastAsia" w:ascii="宋体" w:hAnsi="宋体" w:cs="宋体"/>
                <w:szCs w:val="21"/>
              </w:rPr>
              <w:t xml:space="preserve">三档（11分）：课程建设的服务内容和措施完善，有专业的课程建设人员，课程建设方式兼顾远程、现场等方式，有详细的课程建设计划安排，课程建设内容全面详实，课程建设内容针对性强，课程建设课时充足。 </w:t>
            </w:r>
          </w:p>
          <w:p w14:paraId="39692F7A">
            <w:pPr>
              <w:spacing w:line="410" w:lineRule="exact"/>
              <w:ind w:firstLine="426" w:firstLineChars="202"/>
              <w:rPr>
                <w:rFonts w:hint="eastAsia" w:ascii="宋体" w:hAnsi="宋体" w:cs="宋体"/>
                <w:b/>
                <w:bCs/>
                <w:szCs w:val="21"/>
              </w:rPr>
            </w:pPr>
            <w:r>
              <w:rPr>
                <w:rFonts w:hint="eastAsia" w:ascii="宋体" w:hAnsi="宋体" w:cs="宋体"/>
                <w:b/>
                <w:bCs/>
                <w:szCs w:val="21"/>
              </w:rPr>
              <w:t>注：未提供方案或提供的内容与本项目无关的得0分。</w:t>
            </w:r>
          </w:p>
        </w:tc>
      </w:tr>
      <w:tr w14:paraId="7F24F2A7">
        <w:tblPrEx>
          <w:tblCellMar>
            <w:top w:w="0" w:type="dxa"/>
            <w:left w:w="108" w:type="dxa"/>
            <w:bottom w:w="0" w:type="dxa"/>
            <w:right w:w="108" w:type="dxa"/>
          </w:tblCellMar>
        </w:tblPrEx>
        <w:trPr>
          <w:trHeight w:val="416" w:hRule="atLeast"/>
          <w:jc w:val="center"/>
        </w:trPr>
        <w:tc>
          <w:tcPr>
            <w:tcW w:w="737" w:type="dxa"/>
            <w:vMerge w:val="restart"/>
            <w:tcBorders>
              <w:top w:val="single" w:color="auto" w:sz="4" w:space="0"/>
              <w:left w:val="single" w:color="auto" w:sz="4" w:space="0"/>
              <w:bottom w:val="single" w:color="auto" w:sz="4" w:space="0"/>
              <w:right w:val="single" w:color="auto" w:sz="4" w:space="0"/>
            </w:tcBorders>
            <w:vAlign w:val="center"/>
          </w:tcPr>
          <w:p w14:paraId="5F138A72">
            <w:pPr>
              <w:wordWrap w:val="0"/>
              <w:spacing w:line="360" w:lineRule="auto"/>
              <w:jc w:val="center"/>
              <w:rPr>
                <w:rFonts w:hint="eastAsia" w:ascii="宋体" w:hAnsi="宋体" w:cs="宋体"/>
                <w:b/>
                <w:szCs w:val="21"/>
              </w:rPr>
            </w:pPr>
            <w:r>
              <w:rPr>
                <w:rFonts w:hint="eastAsia" w:ascii="宋体" w:hAnsi="宋体" w:cs="宋体"/>
                <w:b/>
                <w:szCs w:val="21"/>
              </w:rPr>
              <w:t>3</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0BB32B08">
            <w:pPr>
              <w:wordWrap w:val="0"/>
              <w:spacing w:line="360" w:lineRule="auto"/>
              <w:jc w:val="center"/>
              <w:rPr>
                <w:rFonts w:hint="eastAsia" w:ascii="宋体" w:hAnsi="宋体" w:cs="宋体"/>
                <w:szCs w:val="21"/>
              </w:rPr>
            </w:pPr>
            <w:r>
              <w:rPr>
                <w:rFonts w:hint="eastAsia" w:ascii="宋体" w:hAnsi="宋体" w:cs="宋体"/>
                <w:szCs w:val="21"/>
              </w:rPr>
              <w:t>商务分（17分）</w:t>
            </w: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3868FCB">
            <w:pPr>
              <w:pStyle w:val="11"/>
              <w:wordWrap w:val="0"/>
              <w:spacing w:line="360" w:lineRule="auto"/>
              <w:jc w:val="center"/>
              <w:rPr>
                <w:rFonts w:hint="eastAsia" w:hAnsi="宋体" w:cs="宋体"/>
              </w:rPr>
            </w:pPr>
            <w:r>
              <w:rPr>
                <w:rFonts w:hint="eastAsia" w:hAnsi="宋体" w:cs="宋体"/>
              </w:rPr>
              <w:t>3.1后续服务方案分</w:t>
            </w:r>
          </w:p>
          <w:p w14:paraId="0C47604D">
            <w:pPr>
              <w:pStyle w:val="11"/>
              <w:wordWrap w:val="0"/>
              <w:spacing w:line="360" w:lineRule="auto"/>
              <w:jc w:val="center"/>
              <w:rPr>
                <w:rFonts w:hint="eastAsia" w:hAnsi="宋体" w:cs="宋体"/>
              </w:rPr>
            </w:pPr>
            <w:r>
              <w:rPr>
                <w:rFonts w:hint="eastAsia" w:hAnsi="宋体" w:cs="宋体"/>
              </w:rPr>
              <w:t>（满分12分）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29461FB3">
            <w:pPr>
              <w:spacing w:line="410" w:lineRule="exact"/>
              <w:ind w:firstLine="424" w:firstLineChars="202"/>
              <w:rPr>
                <w:rFonts w:hint="eastAsia" w:ascii="宋体" w:hAnsi="宋体" w:cs="宋体"/>
                <w:szCs w:val="21"/>
              </w:rPr>
            </w:pPr>
            <w:r>
              <w:rPr>
                <w:rFonts w:hint="eastAsia" w:ascii="宋体" w:hAnsi="宋体" w:cs="宋体"/>
                <w:szCs w:val="21"/>
              </w:rPr>
              <w:t>一档（4分）：基本了解项目后续服务的需求，所提供的后续服务方案基本满足项目保障的需求，服务方案内容基本完整、有考虑项目需求，条理性和针对性一般。</w:t>
            </w:r>
          </w:p>
          <w:p w14:paraId="023AD293">
            <w:pPr>
              <w:spacing w:line="410" w:lineRule="exact"/>
              <w:ind w:firstLine="424" w:firstLineChars="202"/>
              <w:rPr>
                <w:rFonts w:hint="eastAsia" w:ascii="宋体" w:hAnsi="宋体" w:cs="宋体"/>
                <w:szCs w:val="21"/>
              </w:rPr>
            </w:pPr>
            <w:r>
              <w:rPr>
                <w:rFonts w:hint="eastAsia" w:ascii="宋体" w:hAnsi="宋体" w:cs="宋体"/>
                <w:szCs w:val="21"/>
              </w:rPr>
              <w:t>二档（8分）：较为充分了解项目后续服务的需求，所提供的后续服务方案较贴合项目保障的需求，服务方案内容详尽、条理清晰、严谨合理、较充分地考虑了项目需求，有针对性。</w:t>
            </w:r>
          </w:p>
          <w:p w14:paraId="25ACFBE3">
            <w:pPr>
              <w:spacing w:line="410" w:lineRule="exact"/>
              <w:ind w:firstLine="424" w:firstLineChars="202"/>
              <w:rPr>
                <w:rFonts w:hint="eastAsia" w:ascii="宋体" w:hAnsi="宋体" w:cs="宋体"/>
                <w:szCs w:val="21"/>
              </w:rPr>
            </w:pPr>
            <w:r>
              <w:rPr>
                <w:rFonts w:hint="eastAsia" w:ascii="宋体" w:hAnsi="宋体" w:cs="宋体"/>
                <w:szCs w:val="21"/>
              </w:rPr>
              <w:t>三档（12分）：充分了解项目后续服务的需求，所提供的后续服务方案非常贴合项目保障的需求，并且服务方案内容详尽、条理清晰、严谨合理、充分地考虑了项目需求，有很强的针对性。质保期在满足基本保修期后，免费保修期延长1年及以上的。</w:t>
            </w:r>
          </w:p>
          <w:p w14:paraId="78480CEE">
            <w:pPr>
              <w:spacing w:line="410" w:lineRule="exact"/>
              <w:ind w:firstLine="426" w:firstLineChars="202"/>
              <w:rPr>
                <w:rFonts w:hint="eastAsia" w:ascii="宋体" w:hAnsi="宋体" w:cs="宋体"/>
                <w:szCs w:val="21"/>
              </w:rPr>
            </w:pPr>
            <w:r>
              <w:rPr>
                <w:rFonts w:hint="eastAsia" w:ascii="宋体" w:hAnsi="宋体" w:cs="宋体"/>
                <w:b/>
                <w:bCs/>
                <w:szCs w:val="21"/>
              </w:rPr>
              <w:t>注：未提供方案或提供的内容与本项目无关的得0分。</w:t>
            </w:r>
          </w:p>
        </w:tc>
      </w:tr>
      <w:tr w14:paraId="75B88091">
        <w:tblPrEx>
          <w:tblCellMar>
            <w:top w:w="0" w:type="dxa"/>
            <w:left w:w="108" w:type="dxa"/>
            <w:bottom w:w="0" w:type="dxa"/>
            <w:right w:w="108" w:type="dxa"/>
          </w:tblCellMar>
        </w:tblPrEx>
        <w:trPr>
          <w:trHeight w:val="416" w:hRule="atLeast"/>
          <w:jc w:val="center"/>
        </w:trPr>
        <w:tc>
          <w:tcPr>
            <w:tcW w:w="737" w:type="dxa"/>
            <w:vMerge w:val="continue"/>
            <w:tcBorders>
              <w:top w:val="single" w:color="auto" w:sz="4" w:space="0"/>
              <w:left w:val="single" w:color="auto" w:sz="4" w:space="0"/>
              <w:bottom w:val="single" w:color="auto" w:sz="4" w:space="0"/>
              <w:right w:val="single" w:color="auto" w:sz="4" w:space="0"/>
            </w:tcBorders>
            <w:vAlign w:val="center"/>
          </w:tcPr>
          <w:p w14:paraId="477DFBF6">
            <w:pPr>
              <w:wordWrap w:val="0"/>
              <w:spacing w:line="360" w:lineRule="auto"/>
              <w:rPr>
                <w:rFonts w:hint="eastAsia" w:ascii="宋体" w:hAnsi="宋体" w:cs="宋体"/>
                <w:szCs w:val="21"/>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4737D99E">
            <w:pPr>
              <w:wordWrap w:val="0"/>
              <w:spacing w:line="360" w:lineRule="auto"/>
              <w:rPr>
                <w:rFonts w:hint="eastAsia" w:ascii="宋体" w:hAnsi="宋体" w:cs="宋体"/>
                <w:szCs w:val="21"/>
              </w:rPr>
            </w:pPr>
          </w:p>
        </w:tc>
        <w:tc>
          <w:tcPr>
            <w:tcW w:w="116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4A466A7">
            <w:pPr>
              <w:pStyle w:val="11"/>
              <w:wordWrap w:val="0"/>
              <w:spacing w:line="360" w:lineRule="auto"/>
              <w:jc w:val="center"/>
              <w:rPr>
                <w:rFonts w:hint="eastAsia" w:hAnsi="宋体" w:cs="宋体"/>
              </w:rPr>
            </w:pPr>
            <w:r>
              <w:rPr>
                <w:rFonts w:hint="eastAsia" w:hAnsi="宋体" w:cs="宋体"/>
              </w:rPr>
              <w:t>3.2业绩分（满分5分）</w:t>
            </w:r>
          </w:p>
        </w:tc>
        <w:tc>
          <w:tcPr>
            <w:tcW w:w="7187"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202EFDA">
            <w:pPr>
              <w:pStyle w:val="3"/>
              <w:keepNext w:val="0"/>
              <w:keepLines w:val="0"/>
              <w:wordWrap w:val="0"/>
              <w:spacing w:before="0" w:after="0" w:line="360" w:lineRule="auto"/>
              <w:rPr>
                <w:rFonts w:hint="eastAsia" w:hAnsi="宋体" w:cs="宋体"/>
                <w:sz w:val="21"/>
              </w:rPr>
            </w:pPr>
            <w:r>
              <w:rPr>
                <w:rFonts w:hint="eastAsia" w:ascii="宋体" w:hAnsi="宋体" w:eastAsia="宋体" w:cs="宋体"/>
                <w:b w:val="0"/>
                <w:sz w:val="21"/>
                <w:szCs w:val="21"/>
              </w:rPr>
              <w:t>投标人自2021年6月1日以来具有同类项目业绩的，以合同或中标（成交）通知书复印件为准，每份得1分，满分5分。</w:t>
            </w:r>
          </w:p>
        </w:tc>
      </w:tr>
      <w:tr w14:paraId="431517DD">
        <w:tblPrEx>
          <w:tblCellMar>
            <w:top w:w="0" w:type="dxa"/>
            <w:left w:w="108" w:type="dxa"/>
            <w:bottom w:w="0" w:type="dxa"/>
            <w:right w:w="108" w:type="dxa"/>
          </w:tblCellMar>
        </w:tblPrEx>
        <w:trPr>
          <w:trHeight w:val="416" w:hRule="atLeast"/>
          <w:jc w:val="center"/>
        </w:trPr>
        <w:tc>
          <w:tcPr>
            <w:tcW w:w="10359" w:type="dxa"/>
            <w:gridSpan w:val="4"/>
            <w:tcBorders>
              <w:top w:val="single" w:color="auto" w:sz="4" w:space="0"/>
              <w:left w:val="single" w:color="auto" w:sz="4" w:space="0"/>
              <w:bottom w:val="single" w:color="auto" w:sz="4" w:space="0"/>
              <w:right w:val="single" w:color="auto" w:sz="4" w:space="0"/>
            </w:tcBorders>
            <w:vAlign w:val="center"/>
          </w:tcPr>
          <w:p w14:paraId="42293CFA">
            <w:pPr>
              <w:pStyle w:val="3"/>
              <w:keepNext w:val="0"/>
              <w:keepLines w:val="0"/>
              <w:wordWrap w:val="0"/>
              <w:spacing w:before="0" w:after="0" w:line="360" w:lineRule="auto"/>
              <w:rPr>
                <w:rFonts w:hint="eastAsia" w:ascii="宋体" w:hAnsi="宋体" w:eastAsia="宋体" w:cs="宋体"/>
                <w:b w:val="0"/>
                <w:sz w:val="21"/>
                <w:szCs w:val="21"/>
              </w:rPr>
            </w:pPr>
            <w:r>
              <w:rPr>
                <w:rFonts w:hint="eastAsia" w:ascii="宋体" w:hAnsi="宋体" w:eastAsia="宋体" w:cs="宋体"/>
                <w:sz w:val="21"/>
                <w:szCs w:val="21"/>
              </w:rPr>
              <w:t>总得分=</w:t>
            </w:r>
            <w:r>
              <w:rPr>
                <w:rFonts w:hint="eastAsia" w:ascii="宋体" w:hAnsi="宋体" w:cs="宋体"/>
                <w:sz w:val="21"/>
                <w:szCs w:val="21"/>
              </w:rPr>
              <w:t>1+2+3</w:t>
            </w:r>
          </w:p>
        </w:tc>
      </w:tr>
    </w:tbl>
    <w:p w14:paraId="1B415959">
      <w:pPr>
        <w:spacing w:line="390" w:lineRule="exact"/>
        <w:ind w:right="-168" w:rightChars="-80"/>
        <w:rPr>
          <w:rFonts w:hint="eastAsia" w:ascii="宋体" w:hAnsi="宋体" w:cs="宋体"/>
          <w:b/>
          <w:szCs w:val="21"/>
        </w:rPr>
      </w:pPr>
    </w:p>
    <w:p w14:paraId="350D5990">
      <w:pPr>
        <w:pStyle w:val="12"/>
      </w:pPr>
    </w:p>
    <w:p w14:paraId="5C31C5EC">
      <w:pPr>
        <w:adjustRightInd w:val="0"/>
        <w:spacing w:line="400" w:lineRule="exact"/>
        <w:ind w:firstLine="422" w:firstLineChars="200"/>
        <w:jc w:val="left"/>
        <w:textAlignment w:val="baseline"/>
        <w:rPr>
          <w:rFonts w:hint="eastAsia" w:ascii="宋体" w:hAnsi="宋体" w:cs="宋体"/>
          <w:b/>
          <w:kern w:val="0"/>
          <w:szCs w:val="21"/>
        </w:rPr>
      </w:pPr>
      <w:bookmarkStart w:id="74" w:name="gxebd_pack_1_EvalFactorScoreEnd"/>
      <w:bookmarkEnd w:id="74"/>
      <w:r>
        <w:rPr>
          <w:rFonts w:hint="eastAsia" w:ascii="宋体" w:hAnsi="宋体" w:cs="宋体"/>
          <w:b/>
          <w:kern w:val="0"/>
          <w:szCs w:val="21"/>
        </w:rPr>
        <w:t>三、中标标准及中标候选人推荐原则</w:t>
      </w:r>
    </w:p>
    <w:p w14:paraId="7C82DC0D">
      <w:pPr>
        <w:adjustRightInd w:val="0"/>
        <w:spacing w:line="400" w:lineRule="exact"/>
        <w:ind w:firstLine="420" w:firstLineChars="200"/>
        <w:jc w:val="left"/>
        <w:textAlignment w:val="baseline"/>
        <w:rPr>
          <w:rFonts w:hint="eastAsia" w:ascii="宋体" w:hAnsi="宋体" w:cs="宋体"/>
          <w:bCs/>
          <w:kern w:val="0"/>
          <w:szCs w:val="21"/>
        </w:rPr>
      </w:pPr>
      <w:r>
        <w:rPr>
          <w:rFonts w:hint="eastAsia" w:ascii="宋体" w:hAnsi="宋体" w:cs="宋体"/>
          <w:bCs/>
          <w:kern w:val="0"/>
          <w:szCs w:val="21"/>
        </w:rPr>
        <w:t>评标委员会将根据综合得分由高到低排列次序（得分相同时，以投标报价由低到高顺序排列；得分相同且投标报价相同的，按技术指标优劣顺序排列）并推荐综合得分前三名为中标候选人。</w:t>
      </w:r>
      <w:r>
        <w:rPr>
          <w:rFonts w:hint="eastAsia" w:ascii="宋体" w:hAnsi="宋体" w:cs="宋体"/>
          <w:szCs w:val="21"/>
        </w:rPr>
        <w:t>评审得分、投标报价、技术得分、技术需求偏离分均相同的，由评标委员会成员记名投票，按少数服从多数原则推荐中标候选人。</w:t>
      </w:r>
      <w:r>
        <w:rPr>
          <w:rFonts w:hint="eastAsia" w:ascii="宋体" w:hAnsi="宋体" w:cs="宋体"/>
          <w:bCs/>
          <w:kern w:val="0"/>
          <w:szCs w:val="21"/>
        </w:rPr>
        <w:t>采购人应当确定评审委员会推荐排名第一的中标候选人为中标人。排名第一的中标候选人放弃中标、因不可抗力提出不能履行合同，采购人或采购代理机构应将该情况报政府采购监督管理部门，从合格的中标候选人中另行确定中标人或重新开展政府采购活动。</w:t>
      </w:r>
    </w:p>
    <w:p w14:paraId="4340DF73">
      <w:pPr>
        <w:adjustRightInd w:val="0"/>
        <w:spacing w:line="400" w:lineRule="exact"/>
        <w:ind w:firstLine="420" w:firstLineChars="200"/>
        <w:textAlignment w:val="baseline"/>
        <w:rPr>
          <w:sz w:val="30"/>
          <w:szCs w:val="30"/>
        </w:rPr>
      </w:pPr>
      <w:r>
        <w:rPr>
          <w:rFonts w:hint="eastAsia" w:ascii="宋体" w:hAnsi="宋体" w:cs="宋体"/>
          <w:bCs/>
          <w:kern w:val="0"/>
          <w:szCs w:val="21"/>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bookmarkStart w:id="75" w:name="_Toc1857"/>
      <w:bookmarkStart w:id="76" w:name="_Toc23047"/>
      <w:bookmarkStart w:id="77" w:name="_Toc497578453"/>
      <w:bookmarkStart w:id="78" w:name="_Toc14753"/>
      <w:bookmarkStart w:id="79" w:name="_Toc31928"/>
      <w:bookmarkStart w:id="80" w:name="_Toc82792181"/>
    </w:p>
    <w:p w14:paraId="3BFE4455">
      <w:pPr>
        <w:pStyle w:val="2"/>
        <w:spacing w:line="360" w:lineRule="auto"/>
        <w:jc w:val="center"/>
        <w:rPr>
          <w:sz w:val="30"/>
          <w:szCs w:val="30"/>
        </w:rPr>
        <w:sectPr>
          <w:pgSz w:w="11906" w:h="16838"/>
          <w:pgMar w:top="1440" w:right="1440" w:bottom="1440" w:left="1440" w:header="851" w:footer="992" w:gutter="0"/>
          <w:cols w:space="720" w:num="1"/>
          <w:docGrid w:linePitch="312" w:charSpace="0"/>
        </w:sectPr>
      </w:pPr>
      <w:bookmarkStart w:id="81" w:name="_Toc30622"/>
      <w:bookmarkStart w:id="82" w:name="_Toc32095"/>
      <w:bookmarkStart w:id="83" w:name="_Toc934"/>
    </w:p>
    <w:p w14:paraId="001E32F0">
      <w:pPr>
        <w:pStyle w:val="2"/>
        <w:spacing w:line="360" w:lineRule="auto"/>
        <w:jc w:val="center"/>
        <w:rPr>
          <w:rFonts w:ascii="仿宋_GB2312"/>
          <w:b w:val="0"/>
          <w:bCs w:val="0"/>
          <w:sz w:val="32"/>
          <w:szCs w:val="32"/>
        </w:rPr>
      </w:pPr>
      <w:bookmarkStart w:id="84" w:name="_Hlk180398619"/>
      <w:r>
        <w:rPr>
          <w:rFonts w:hint="eastAsia"/>
          <w:sz w:val="30"/>
          <w:szCs w:val="30"/>
        </w:rPr>
        <w:t xml:space="preserve">第五章 </w:t>
      </w:r>
      <w:bookmarkEnd w:id="75"/>
      <w:bookmarkEnd w:id="76"/>
      <w:bookmarkEnd w:id="77"/>
      <w:bookmarkEnd w:id="78"/>
      <w:bookmarkEnd w:id="79"/>
      <w:bookmarkEnd w:id="80"/>
      <w:bookmarkEnd w:id="81"/>
      <w:bookmarkEnd w:id="82"/>
      <w:r>
        <w:rPr>
          <w:rFonts w:hint="eastAsia"/>
          <w:sz w:val="30"/>
          <w:szCs w:val="30"/>
        </w:rPr>
        <w:t xml:space="preserve"> 合同主要条款格式及合同验收书格式</w:t>
      </w:r>
      <w:bookmarkEnd w:id="83"/>
    </w:p>
    <w:p w14:paraId="2194C36F">
      <w:pPr>
        <w:snapToGrid w:val="0"/>
        <w:spacing w:line="340" w:lineRule="exact"/>
        <w:jc w:val="center"/>
        <w:rPr>
          <w:rFonts w:hint="eastAsia" w:ascii="宋体" w:hAnsi="宋体" w:cs="宋体"/>
          <w:b/>
          <w:bCs/>
          <w:szCs w:val="21"/>
        </w:rPr>
      </w:pPr>
      <w:r>
        <w:rPr>
          <w:rFonts w:hint="eastAsia" w:ascii="宋体" w:hAnsi="宋体" w:cs="宋体"/>
          <w:b/>
          <w:bCs/>
          <w:szCs w:val="21"/>
        </w:rPr>
        <w:t>政府采购合同</w:t>
      </w:r>
    </w:p>
    <w:p w14:paraId="631A2D2D">
      <w:pPr>
        <w:snapToGrid w:val="0"/>
        <w:spacing w:line="340" w:lineRule="exact"/>
        <w:jc w:val="center"/>
        <w:rPr>
          <w:rFonts w:hint="eastAsia" w:ascii="宋体" w:hAnsi="宋体" w:cs="宋体"/>
          <w:b/>
          <w:bCs/>
          <w:szCs w:val="21"/>
        </w:rPr>
      </w:pPr>
      <w:r>
        <w:rPr>
          <w:rFonts w:hint="eastAsia" w:ascii="宋体" w:hAnsi="宋体" w:cs="宋体"/>
          <w:b/>
          <w:bCs/>
          <w:szCs w:val="21"/>
        </w:rPr>
        <w:t>（一般货物类）</w:t>
      </w:r>
    </w:p>
    <w:p w14:paraId="7E43F3E1">
      <w:pPr>
        <w:wordWrap w:val="0"/>
        <w:snapToGrid w:val="0"/>
        <w:spacing w:line="340" w:lineRule="exact"/>
        <w:jc w:val="right"/>
        <w:rPr>
          <w:rFonts w:hint="eastAsia" w:ascii="宋体" w:hAnsi="宋体" w:cs="宋体"/>
          <w:bCs/>
          <w:szCs w:val="21"/>
          <w:u w:val="single"/>
        </w:rPr>
      </w:pPr>
      <w:r>
        <w:rPr>
          <w:rFonts w:hint="eastAsia" w:ascii="宋体" w:hAnsi="宋体" w:cs="宋体"/>
          <w:bCs/>
          <w:szCs w:val="21"/>
        </w:rPr>
        <w:t xml:space="preserve">合同编号：            </w:t>
      </w:r>
    </w:p>
    <w:p w14:paraId="0FF00B75">
      <w:pPr>
        <w:snapToGrid w:val="0"/>
        <w:spacing w:line="340" w:lineRule="exact"/>
        <w:rPr>
          <w:rFonts w:hint="eastAsia" w:ascii="宋体" w:hAnsi="宋体" w:cs="宋体"/>
          <w:szCs w:val="21"/>
        </w:rPr>
      </w:pPr>
    </w:p>
    <w:p w14:paraId="06F43FC7">
      <w:pPr>
        <w:snapToGrid w:val="0"/>
        <w:spacing w:line="340" w:lineRule="exact"/>
        <w:ind w:right="-470" w:rightChars="-224"/>
        <w:rPr>
          <w:rFonts w:hint="eastAsia" w:ascii="宋体" w:hAnsi="宋体" w:cs="宋体"/>
          <w:szCs w:val="21"/>
          <w:u w:val="single"/>
        </w:rPr>
      </w:pPr>
      <w:r>
        <w:rPr>
          <w:rFonts w:hint="eastAsia" w:ascii="宋体" w:hAnsi="宋体" w:cs="宋体"/>
          <w:szCs w:val="21"/>
        </w:rPr>
        <w:t>采购单位（甲方）：</w:t>
      </w:r>
      <w:r>
        <w:rPr>
          <w:rFonts w:hint="eastAsia" w:ascii="宋体" w:hAnsi="宋体" w:cs="宋体"/>
          <w:szCs w:val="21"/>
          <w:u w:val="single"/>
        </w:rPr>
        <w:t xml:space="preserve">                             </w:t>
      </w:r>
      <w:r>
        <w:rPr>
          <w:rFonts w:hint="eastAsia" w:ascii="宋体" w:hAnsi="宋体" w:cs="宋体"/>
          <w:szCs w:val="21"/>
        </w:rPr>
        <w:t>采购计划表编号：</w:t>
      </w:r>
      <w:r>
        <w:rPr>
          <w:rFonts w:hint="eastAsia" w:ascii="宋体" w:hAnsi="宋体" w:cs="宋体"/>
          <w:szCs w:val="21"/>
          <w:u w:val="single"/>
        </w:rPr>
        <w:t xml:space="preserve">               </w:t>
      </w:r>
    </w:p>
    <w:p w14:paraId="633F7894">
      <w:pPr>
        <w:snapToGrid w:val="0"/>
        <w:spacing w:line="340" w:lineRule="exact"/>
        <w:ind w:right="-470" w:rightChars="-224"/>
        <w:rPr>
          <w:rFonts w:hint="eastAsia" w:ascii="宋体" w:hAnsi="宋体" w:cs="宋体"/>
          <w:szCs w:val="21"/>
          <w:u w:val="single"/>
        </w:rPr>
      </w:pPr>
      <w:r>
        <w:rPr>
          <w:rFonts w:hint="eastAsia" w:ascii="宋体" w:hAnsi="宋体" w:cs="宋体"/>
          <w:szCs w:val="21"/>
        </w:rPr>
        <w:t>供 应 商（乙方）：</w:t>
      </w:r>
      <w:r>
        <w:rPr>
          <w:rFonts w:hint="eastAsia" w:ascii="宋体" w:hAnsi="宋体" w:cs="宋体"/>
          <w:szCs w:val="21"/>
          <w:u w:val="single"/>
        </w:rPr>
        <w:t xml:space="preserve">                             </w:t>
      </w:r>
      <w:r>
        <w:rPr>
          <w:rFonts w:hint="eastAsia" w:ascii="宋体" w:hAnsi="宋体" w:cs="宋体"/>
          <w:szCs w:val="21"/>
        </w:rPr>
        <w:t>项目名称及编号</w:t>
      </w:r>
      <w:r>
        <w:rPr>
          <w:rFonts w:hint="eastAsia" w:ascii="宋体" w:hAnsi="宋体" w:cs="宋体"/>
          <w:spacing w:val="-20"/>
          <w:szCs w:val="21"/>
        </w:rPr>
        <w:t>：</w:t>
      </w:r>
      <w:r>
        <w:rPr>
          <w:rFonts w:hint="eastAsia" w:ascii="宋体" w:hAnsi="宋体" w:cs="宋体"/>
          <w:szCs w:val="21"/>
          <w:u w:val="single"/>
        </w:rPr>
        <w:t xml:space="preserve">                    </w:t>
      </w:r>
      <w:r>
        <w:rPr>
          <w:rFonts w:hint="eastAsia" w:ascii="宋体" w:hAnsi="宋体" w:cs="宋体"/>
          <w:szCs w:val="21"/>
        </w:rPr>
        <w:t xml:space="preserve">     </w:t>
      </w:r>
    </w:p>
    <w:p w14:paraId="1501A3F4">
      <w:pPr>
        <w:snapToGrid w:val="0"/>
        <w:spacing w:line="340" w:lineRule="exact"/>
        <w:ind w:right="-470" w:rightChars="-224"/>
        <w:rPr>
          <w:rFonts w:hint="eastAsia" w:ascii="宋体" w:hAnsi="宋体" w:cs="宋体"/>
          <w:szCs w:val="21"/>
          <w:u w:val="single"/>
        </w:rPr>
      </w:pPr>
      <w:r>
        <w:rPr>
          <w:rFonts w:hint="eastAsia" w:ascii="宋体" w:hAnsi="宋体" w:cs="宋体"/>
          <w:szCs w:val="21"/>
        </w:rPr>
        <w:t>签  订  地  点 ：</w:t>
      </w:r>
      <w:r>
        <w:rPr>
          <w:rFonts w:hint="eastAsia" w:ascii="宋体" w:hAnsi="宋体" w:cs="宋体"/>
          <w:szCs w:val="21"/>
          <w:u w:val="single"/>
        </w:rPr>
        <w:t xml:space="preserve">                              </w:t>
      </w:r>
      <w:r>
        <w:rPr>
          <w:rFonts w:hint="eastAsia" w:ascii="宋体" w:hAnsi="宋体" w:cs="宋体"/>
          <w:spacing w:val="38"/>
          <w:szCs w:val="21"/>
        </w:rPr>
        <w:t>签订时间：</w:t>
      </w:r>
      <w:r>
        <w:rPr>
          <w:rFonts w:hint="eastAsia" w:ascii="宋体" w:hAnsi="宋体" w:cs="宋体"/>
          <w:szCs w:val="21"/>
          <w:u w:val="single"/>
        </w:rPr>
        <w:t xml:space="preserve">     年   月   日   </w:t>
      </w:r>
    </w:p>
    <w:p w14:paraId="7AFB877A">
      <w:pPr>
        <w:snapToGrid w:val="0"/>
        <w:spacing w:line="340" w:lineRule="exact"/>
        <w:ind w:right="-470" w:rightChars="-224" w:firstLine="420" w:firstLineChars="200"/>
        <w:rPr>
          <w:rFonts w:hint="eastAsia" w:ascii="宋体" w:hAnsi="宋体" w:cs="宋体"/>
          <w:szCs w:val="21"/>
        </w:rPr>
      </w:pPr>
    </w:p>
    <w:p w14:paraId="1E894A3C">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根据《中华人民共和国政府采购法》、《中华人民共和国民法典（合同编）》等法律、法规规定，按照招投标文件（采购文件）规定条款和中标（成交）供应商承诺，甲乙双方签订本合同。</w:t>
      </w:r>
    </w:p>
    <w:p w14:paraId="13F19D77">
      <w:pPr>
        <w:snapToGrid w:val="0"/>
        <w:spacing w:line="340" w:lineRule="exact"/>
        <w:ind w:right="-470" w:rightChars="-224" w:firstLine="422" w:firstLineChars="200"/>
        <w:rPr>
          <w:rFonts w:hint="eastAsia" w:ascii="宋体" w:hAnsi="宋体" w:cs="宋体"/>
          <w:b/>
          <w:szCs w:val="21"/>
        </w:rPr>
      </w:pPr>
      <w:r>
        <w:rPr>
          <w:rFonts w:hint="eastAsia" w:ascii="宋体" w:hAnsi="宋体" w:cs="宋体"/>
          <w:b/>
          <w:szCs w:val="21"/>
        </w:rPr>
        <w:t xml:space="preserve"> 第一条　合同标的</w:t>
      </w:r>
    </w:p>
    <w:p w14:paraId="3732A484">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1.供货一览表</w:t>
      </w:r>
    </w:p>
    <w:tbl>
      <w:tblPr>
        <w:tblStyle w:val="17"/>
        <w:tblW w:w="89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07"/>
        <w:gridCol w:w="1134"/>
        <w:gridCol w:w="1037"/>
        <w:gridCol w:w="1161"/>
        <w:gridCol w:w="903"/>
        <w:gridCol w:w="892"/>
        <w:gridCol w:w="863"/>
        <w:gridCol w:w="1088"/>
      </w:tblGrid>
      <w:tr w14:paraId="5685E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36" w:type="dxa"/>
            <w:vAlign w:val="center"/>
          </w:tcPr>
          <w:p w14:paraId="2CDE1DF7">
            <w:pPr>
              <w:snapToGrid w:val="0"/>
              <w:spacing w:line="340" w:lineRule="exact"/>
              <w:jc w:val="center"/>
              <w:rPr>
                <w:rFonts w:hint="eastAsia" w:ascii="宋体" w:hAnsi="宋体" w:cs="宋体"/>
                <w:szCs w:val="21"/>
              </w:rPr>
            </w:pPr>
            <w:r>
              <w:rPr>
                <w:rFonts w:hint="eastAsia" w:ascii="宋体" w:hAnsi="宋体" w:cs="宋体"/>
                <w:szCs w:val="21"/>
              </w:rPr>
              <w:t>序号</w:t>
            </w:r>
          </w:p>
        </w:tc>
        <w:tc>
          <w:tcPr>
            <w:tcW w:w="1207" w:type="dxa"/>
            <w:vAlign w:val="center"/>
          </w:tcPr>
          <w:p w14:paraId="6030678B">
            <w:pPr>
              <w:snapToGrid w:val="0"/>
              <w:spacing w:line="340" w:lineRule="exact"/>
              <w:jc w:val="center"/>
              <w:rPr>
                <w:rFonts w:hint="eastAsia" w:ascii="宋体" w:hAnsi="宋体" w:cs="宋体"/>
                <w:szCs w:val="21"/>
              </w:rPr>
            </w:pPr>
            <w:r>
              <w:rPr>
                <w:rFonts w:hint="eastAsia" w:ascii="宋体" w:hAnsi="宋体" w:cs="宋体"/>
                <w:szCs w:val="21"/>
              </w:rPr>
              <w:t>产品名称</w:t>
            </w:r>
          </w:p>
        </w:tc>
        <w:tc>
          <w:tcPr>
            <w:tcW w:w="1134" w:type="dxa"/>
            <w:vAlign w:val="center"/>
          </w:tcPr>
          <w:p w14:paraId="3C011F08">
            <w:pPr>
              <w:snapToGrid w:val="0"/>
              <w:spacing w:line="340" w:lineRule="exact"/>
              <w:jc w:val="center"/>
              <w:rPr>
                <w:rFonts w:hint="eastAsia" w:ascii="宋体" w:hAnsi="宋体" w:cs="宋体"/>
                <w:szCs w:val="21"/>
              </w:rPr>
            </w:pPr>
            <w:r>
              <w:rPr>
                <w:rFonts w:hint="eastAsia" w:ascii="宋体" w:hAnsi="宋体" w:cs="宋体"/>
                <w:szCs w:val="21"/>
              </w:rPr>
              <w:t>商标品牌</w:t>
            </w:r>
          </w:p>
        </w:tc>
        <w:tc>
          <w:tcPr>
            <w:tcW w:w="1037" w:type="dxa"/>
            <w:vAlign w:val="center"/>
          </w:tcPr>
          <w:p w14:paraId="12104017">
            <w:pPr>
              <w:snapToGrid w:val="0"/>
              <w:spacing w:line="340" w:lineRule="exact"/>
              <w:jc w:val="center"/>
              <w:rPr>
                <w:rFonts w:hint="eastAsia" w:ascii="宋体" w:hAnsi="宋体" w:cs="宋体"/>
                <w:szCs w:val="21"/>
              </w:rPr>
            </w:pPr>
            <w:r>
              <w:rPr>
                <w:rFonts w:hint="eastAsia" w:ascii="宋体" w:hAnsi="宋体" w:cs="宋体"/>
                <w:szCs w:val="21"/>
              </w:rPr>
              <w:t>规格型号</w:t>
            </w:r>
          </w:p>
        </w:tc>
        <w:tc>
          <w:tcPr>
            <w:tcW w:w="1161" w:type="dxa"/>
            <w:vAlign w:val="center"/>
          </w:tcPr>
          <w:p w14:paraId="14775F17">
            <w:pPr>
              <w:snapToGrid w:val="0"/>
              <w:spacing w:line="340" w:lineRule="exact"/>
              <w:jc w:val="center"/>
              <w:rPr>
                <w:rFonts w:hint="eastAsia" w:ascii="宋体" w:hAnsi="宋体" w:cs="宋体"/>
                <w:szCs w:val="21"/>
              </w:rPr>
            </w:pPr>
            <w:r>
              <w:rPr>
                <w:rFonts w:hint="eastAsia" w:ascii="宋体" w:hAnsi="宋体" w:cs="宋体"/>
                <w:szCs w:val="21"/>
              </w:rPr>
              <w:t>生产厂家</w:t>
            </w:r>
          </w:p>
        </w:tc>
        <w:tc>
          <w:tcPr>
            <w:tcW w:w="903" w:type="dxa"/>
            <w:vAlign w:val="center"/>
          </w:tcPr>
          <w:p w14:paraId="4287B9B1">
            <w:pPr>
              <w:snapToGrid w:val="0"/>
              <w:spacing w:line="340" w:lineRule="exact"/>
              <w:jc w:val="center"/>
              <w:rPr>
                <w:rFonts w:hint="eastAsia" w:ascii="宋体" w:hAnsi="宋体" w:cs="宋体"/>
                <w:szCs w:val="21"/>
              </w:rPr>
            </w:pPr>
            <w:r>
              <w:rPr>
                <w:rFonts w:hint="eastAsia" w:ascii="宋体" w:hAnsi="宋体" w:cs="宋体"/>
                <w:szCs w:val="21"/>
              </w:rPr>
              <w:t>数量</w:t>
            </w:r>
          </w:p>
        </w:tc>
        <w:tc>
          <w:tcPr>
            <w:tcW w:w="892" w:type="dxa"/>
            <w:vAlign w:val="center"/>
          </w:tcPr>
          <w:p w14:paraId="6BEB87F3">
            <w:pPr>
              <w:snapToGrid w:val="0"/>
              <w:spacing w:line="340" w:lineRule="exact"/>
              <w:jc w:val="center"/>
              <w:rPr>
                <w:rFonts w:hint="eastAsia" w:ascii="宋体" w:hAnsi="宋体" w:cs="宋体"/>
                <w:szCs w:val="21"/>
              </w:rPr>
            </w:pPr>
            <w:r>
              <w:rPr>
                <w:rFonts w:hint="eastAsia" w:ascii="宋体" w:hAnsi="宋体" w:cs="宋体"/>
                <w:szCs w:val="21"/>
              </w:rPr>
              <w:t>单位</w:t>
            </w:r>
          </w:p>
        </w:tc>
        <w:tc>
          <w:tcPr>
            <w:tcW w:w="863" w:type="dxa"/>
            <w:vAlign w:val="center"/>
          </w:tcPr>
          <w:p w14:paraId="45CB6E83">
            <w:pPr>
              <w:snapToGrid w:val="0"/>
              <w:spacing w:line="340" w:lineRule="exact"/>
              <w:jc w:val="center"/>
              <w:rPr>
                <w:rFonts w:hint="eastAsia" w:ascii="宋体" w:hAnsi="宋体" w:cs="宋体"/>
                <w:szCs w:val="21"/>
              </w:rPr>
            </w:pPr>
            <w:r>
              <w:rPr>
                <w:rFonts w:hint="eastAsia" w:ascii="宋体" w:hAnsi="宋体" w:cs="宋体"/>
                <w:szCs w:val="21"/>
              </w:rPr>
              <w:t>单价（元）</w:t>
            </w:r>
          </w:p>
        </w:tc>
        <w:tc>
          <w:tcPr>
            <w:tcW w:w="1088" w:type="dxa"/>
            <w:vAlign w:val="center"/>
          </w:tcPr>
          <w:p w14:paraId="285B6D89">
            <w:pPr>
              <w:snapToGrid w:val="0"/>
              <w:spacing w:line="340" w:lineRule="exact"/>
              <w:jc w:val="center"/>
              <w:rPr>
                <w:rFonts w:hint="eastAsia" w:ascii="宋体" w:hAnsi="宋体" w:cs="宋体"/>
                <w:szCs w:val="21"/>
              </w:rPr>
            </w:pPr>
            <w:r>
              <w:rPr>
                <w:rFonts w:hint="eastAsia" w:ascii="宋体" w:hAnsi="宋体" w:cs="宋体"/>
                <w:szCs w:val="21"/>
              </w:rPr>
              <w:t>金额（元）</w:t>
            </w:r>
          </w:p>
        </w:tc>
      </w:tr>
      <w:tr w14:paraId="2AC7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69234FED">
            <w:pPr>
              <w:snapToGrid w:val="0"/>
              <w:spacing w:line="340" w:lineRule="exact"/>
              <w:jc w:val="center"/>
              <w:rPr>
                <w:rFonts w:hint="eastAsia" w:ascii="宋体" w:hAnsi="宋体" w:cs="宋体"/>
                <w:szCs w:val="21"/>
              </w:rPr>
            </w:pPr>
            <w:r>
              <w:rPr>
                <w:rFonts w:hint="eastAsia" w:ascii="宋体" w:hAnsi="宋体" w:cs="宋体"/>
                <w:szCs w:val="21"/>
              </w:rPr>
              <w:t>1</w:t>
            </w:r>
          </w:p>
        </w:tc>
        <w:tc>
          <w:tcPr>
            <w:tcW w:w="1207" w:type="dxa"/>
            <w:vAlign w:val="center"/>
          </w:tcPr>
          <w:p w14:paraId="0ABE1835">
            <w:pPr>
              <w:snapToGrid w:val="0"/>
              <w:spacing w:line="340" w:lineRule="exact"/>
              <w:jc w:val="center"/>
              <w:rPr>
                <w:rFonts w:hint="eastAsia" w:ascii="宋体" w:hAnsi="宋体" w:cs="宋体"/>
                <w:szCs w:val="21"/>
              </w:rPr>
            </w:pPr>
          </w:p>
        </w:tc>
        <w:tc>
          <w:tcPr>
            <w:tcW w:w="1134" w:type="dxa"/>
            <w:vAlign w:val="center"/>
          </w:tcPr>
          <w:p w14:paraId="39B36C51">
            <w:pPr>
              <w:snapToGrid w:val="0"/>
              <w:spacing w:line="340" w:lineRule="exact"/>
              <w:jc w:val="center"/>
              <w:rPr>
                <w:rFonts w:hint="eastAsia" w:ascii="宋体" w:hAnsi="宋体" w:cs="宋体"/>
                <w:szCs w:val="21"/>
              </w:rPr>
            </w:pPr>
          </w:p>
        </w:tc>
        <w:tc>
          <w:tcPr>
            <w:tcW w:w="1037" w:type="dxa"/>
            <w:vAlign w:val="center"/>
          </w:tcPr>
          <w:p w14:paraId="334F28B5">
            <w:pPr>
              <w:snapToGrid w:val="0"/>
              <w:spacing w:line="340" w:lineRule="exact"/>
              <w:jc w:val="center"/>
              <w:rPr>
                <w:rFonts w:hint="eastAsia" w:ascii="宋体" w:hAnsi="宋体" w:cs="宋体"/>
                <w:szCs w:val="21"/>
              </w:rPr>
            </w:pPr>
          </w:p>
        </w:tc>
        <w:tc>
          <w:tcPr>
            <w:tcW w:w="1161" w:type="dxa"/>
            <w:vAlign w:val="center"/>
          </w:tcPr>
          <w:p w14:paraId="7ED973F4">
            <w:pPr>
              <w:snapToGrid w:val="0"/>
              <w:spacing w:line="340" w:lineRule="exact"/>
              <w:jc w:val="center"/>
              <w:rPr>
                <w:rFonts w:hint="eastAsia" w:ascii="宋体" w:hAnsi="宋体" w:cs="宋体"/>
                <w:szCs w:val="21"/>
              </w:rPr>
            </w:pPr>
          </w:p>
        </w:tc>
        <w:tc>
          <w:tcPr>
            <w:tcW w:w="903" w:type="dxa"/>
            <w:vAlign w:val="center"/>
          </w:tcPr>
          <w:p w14:paraId="77424D6D">
            <w:pPr>
              <w:snapToGrid w:val="0"/>
              <w:spacing w:line="340" w:lineRule="exact"/>
              <w:jc w:val="center"/>
              <w:rPr>
                <w:rFonts w:hint="eastAsia" w:ascii="宋体" w:hAnsi="宋体" w:cs="宋体"/>
                <w:szCs w:val="21"/>
              </w:rPr>
            </w:pPr>
          </w:p>
        </w:tc>
        <w:tc>
          <w:tcPr>
            <w:tcW w:w="892" w:type="dxa"/>
            <w:vAlign w:val="center"/>
          </w:tcPr>
          <w:p w14:paraId="45A13D1E">
            <w:pPr>
              <w:snapToGrid w:val="0"/>
              <w:spacing w:line="340" w:lineRule="exact"/>
              <w:jc w:val="center"/>
              <w:rPr>
                <w:rFonts w:hint="eastAsia" w:ascii="宋体" w:hAnsi="宋体" w:cs="宋体"/>
                <w:szCs w:val="21"/>
              </w:rPr>
            </w:pPr>
          </w:p>
        </w:tc>
        <w:tc>
          <w:tcPr>
            <w:tcW w:w="863" w:type="dxa"/>
            <w:vAlign w:val="center"/>
          </w:tcPr>
          <w:p w14:paraId="55B27EBD">
            <w:pPr>
              <w:snapToGrid w:val="0"/>
              <w:spacing w:line="340" w:lineRule="exact"/>
              <w:jc w:val="center"/>
              <w:rPr>
                <w:rFonts w:hint="eastAsia" w:ascii="宋体" w:hAnsi="宋体" w:cs="宋体"/>
                <w:szCs w:val="21"/>
              </w:rPr>
            </w:pPr>
          </w:p>
        </w:tc>
        <w:tc>
          <w:tcPr>
            <w:tcW w:w="1088" w:type="dxa"/>
            <w:vAlign w:val="center"/>
          </w:tcPr>
          <w:p w14:paraId="3BB50681">
            <w:pPr>
              <w:snapToGrid w:val="0"/>
              <w:spacing w:line="340" w:lineRule="exact"/>
              <w:jc w:val="center"/>
              <w:rPr>
                <w:rFonts w:hint="eastAsia" w:ascii="宋体" w:hAnsi="宋体" w:cs="宋体"/>
                <w:szCs w:val="21"/>
              </w:rPr>
            </w:pPr>
          </w:p>
        </w:tc>
      </w:tr>
      <w:tr w14:paraId="378FE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3EDFE42E">
            <w:pPr>
              <w:snapToGrid w:val="0"/>
              <w:spacing w:line="340" w:lineRule="exact"/>
              <w:jc w:val="center"/>
              <w:rPr>
                <w:rFonts w:hint="eastAsia" w:ascii="宋体" w:hAnsi="宋体" w:cs="宋体"/>
                <w:szCs w:val="21"/>
              </w:rPr>
            </w:pPr>
            <w:r>
              <w:rPr>
                <w:rFonts w:hint="eastAsia" w:ascii="宋体" w:hAnsi="宋体" w:cs="宋体"/>
                <w:szCs w:val="21"/>
              </w:rPr>
              <w:t>2</w:t>
            </w:r>
          </w:p>
        </w:tc>
        <w:tc>
          <w:tcPr>
            <w:tcW w:w="1207" w:type="dxa"/>
            <w:vAlign w:val="center"/>
          </w:tcPr>
          <w:p w14:paraId="2E419E3D">
            <w:pPr>
              <w:snapToGrid w:val="0"/>
              <w:spacing w:line="340" w:lineRule="exact"/>
              <w:jc w:val="center"/>
              <w:rPr>
                <w:rFonts w:hint="eastAsia" w:ascii="宋体" w:hAnsi="宋体" w:cs="宋体"/>
                <w:szCs w:val="21"/>
              </w:rPr>
            </w:pPr>
          </w:p>
        </w:tc>
        <w:tc>
          <w:tcPr>
            <w:tcW w:w="1134" w:type="dxa"/>
            <w:vAlign w:val="center"/>
          </w:tcPr>
          <w:p w14:paraId="266068B9">
            <w:pPr>
              <w:snapToGrid w:val="0"/>
              <w:spacing w:line="340" w:lineRule="exact"/>
              <w:jc w:val="center"/>
              <w:rPr>
                <w:rFonts w:hint="eastAsia" w:ascii="宋体" w:hAnsi="宋体" w:cs="宋体"/>
                <w:szCs w:val="21"/>
              </w:rPr>
            </w:pPr>
          </w:p>
        </w:tc>
        <w:tc>
          <w:tcPr>
            <w:tcW w:w="1037" w:type="dxa"/>
            <w:vAlign w:val="center"/>
          </w:tcPr>
          <w:p w14:paraId="5B9E3D86">
            <w:pPr>
              <w:snapToGrid w:val="0"/>
              <w:spacing w:line="340" w:lineRule="exact"/>
              <w:jc w:val="center"/>
              <w:rPr>
                <w:rFonts w:hint="eastAsia" w:ascii="宋体" w:hAnsi="宋体" w:cs="宋体"/>
                <w:szCs w:val="21"/>
              </w:rPr>
            </w:pPr>
          </w:p>
        </w:tc>
        <w:tc>
          <w:tcPr>
            <w:tcW w:w="1161" w:type="dxa"/>
            <w:vAlign w:val="center"/>
          </w:tcPr>
          <w:p w14:paraId="60AB1FFC">
            <w:pPr>
              <w:snapToGrid w:val="0"/>
              <w:spacing w:line="340" w:lineRule="exact"/>
              <w:jc w:val="center"/>
              <w:rPr>
                <w:rFonts w:hint="eastAsia" w:ascii="宋体" w:hAnsi="宋体" w:cs="宋体"/>
                <w:szCs w:val="21"/>
              </w:rPr>
            </w:pPr>
          </w:p>
        </w:tc>
        <w:tc>
          <w:tcPr>
            <w:tcW w:w="903" w:type="dxa"/>
            <w:vAlign w:val="center"/>
          </w:tcPr>
          <w:p w14:paraId="1FF6EC60">
            <w:pPr>
              <w:snapToGrid w:val="0"/>
              <w:spacing w:line="340" w:lineRule="exact"/>
              <w:jc w:val="center"/>
              <w:rPr>
                <w:rFonts w:hint="eastAsia" w:ascii="宋体" w:hAnsi="宋体" w:cs="宋体"/>
                <w:szCs w:val="21"/>
              </w:rPr>
            </w:pPr>
          </w:p>
        </w:tc>
        <w:tc>
          <w:tcPr>
            <w:tcW w:w="892" w:type="dxa"/>
            <w:vAlign w:val="center"/>
          </w:tcPr>
          <w:p w14:paraId="5ED6F2F1">
            <w:pPr>
              <w:snapToGrid w:val="0"/>
              <w:spacing w:line="340" w:lineRule="exact"/>
              <w:jc w:val="center"/>
              <w:rPr>
                <w:rFonts w:hint="eastAsia" w:ascii="宋体" w:hAnsi="宋体" w:cs="宋体"/>
                <w:szCs w:val="21"/>
              </w:rPr>
            </w:pPr>
          </w:p>
        </w:tc>
        <w:tc>
          <w:tcPr>
            <w:tcW w:w="863" w:type="dxa"/>
            <w:vAlign w:val="center"/>
          </w:tcPr>
          <w:p w14:paraId="7733001B">
            <w:pPr>
              <w:snapToGrid w:val="0"/>
              <w:spacing w:line="340" w:lineRule="exact"/>
              <w:jc w:val="center"/>
              <w:rPr>
                <w:rFonts w:hint="eastAsia" w:ascii="宋体" w:hAnsi="宋体" w:cs="宋体"/>
                <w:szCs w:val="21"/>
              </w:rPr>
            </w:pPr>
          </w:p>
        </w:tc>
        <w:tc>
          <w:tcPr>
            <w:tcW w:w="1088" w:type="dxa"/>
            <w:vAlign w:val="center"/>
          </w:tcPr>
          <w:p w14:paraId="7A9815F9">
            <w:pPr>
              <w:snapToGrid w:val="0"/>
              <w:spacing w:line="340" w:lineRule="exact"/>
              <w:jc w:val="center"/>
              <w:rPr>
                <w:rFonts w:hint="eastAsia" w:ascii="宋体" w:hAnsi="宋体" w:cs="宋体"/>
                <w:szCs w:val="21"/>
              </w:rPr>
            </w:pPr>
          </w:p>
        </w:tc>
      </w:tr>
      <w:tr w14:paraId="6EA6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36" w:type="dxa"/>
            <w:vAlign w:val="center"/>
          </w:tcPr>
          <w:p w14:paraId="27E635C4">
            <w:pPr>
              <w:snapToGrid w:val="0"/>
              <w:spacing w:line="340" w:lineRule="exact"/>
              <w:jc w:val="center"/>
              <w:rPr>
                <w:rFonts w:hint="eastAsia" w:ascii="宋体" w:hAnsi="宋体" w:cs="宋体"/>
                <w:szCs w:val="21"/>
              </w:rPr>
            </w:pPr>
            <w:r>
              <w:rPr>
                <w:rFonts w:hint="eastAsia" w:ascii="宋体" w:hAnsi="宋体" w:cs="宋体"/>
                <w:szCs w:val="21"/>
              </w:rPr>
              <w:t>……</w:t>
            </w:r>
          </w:p>
        </w:tc>
        <w:tc>
          <w:tcPr>
            <w:tcW w:w="1207" w:type="dxa"/>
            <w:vAlign w:val="center"/>
          </w:tcPr>
          <w:p w14:paraId="45A95A7F">
            <w:pPr>
              <w:snapToGrid w:val="0"/>
              <w:spacing w:line="340" w:lineRule="exact"/>
              <w:jc w:val="center"/>
              <w:rPr>
                <w:rFonts w:hint="eastAsia" w:ascii="宋体" w:hAnsi="宋体" w:cs="宋体"/>
                <w:szCs w:val="21"/>
              </w:rPr>
            </w:pPr>
          </w:p>
        </w:tc>
        <w:tc>
          <w:tcPr>
            <w:tcW w:w="1134" w:type="dxa"/>
            <w:vAlign w:val="center"/>
          </w:tcPr>
          <w:p w14:paraId="0D01A01E">
            <w:pPr>
              <w:snapToGrid w:val="0"/>
              <w:spacing w:line="340" w:lineRule="exact"/>
              <w:jc w:val="center"/>
              <w:rPr>
                <w:rFonts w:hint="eastAsia" w:ascii="宋体" w:hAnsi="宋体" w:cs="宋体"/>
                <w:szCs w:val="21"/>
              </w:rPr>
            </w:pPr>
          </w:p>
        </w:tc>
        <w:tc>
          <w:tcPr>
            <w:tcW w:w="1037" w:type="dxa"/>
            <w:vAlign w:val="center"/>
          </w:tcPr>
          <w:p w14:paraId="12685A8B">
            <w:pPr>
              <w:snapToGrid w:val="0"/>
              <w:spacing w:line="340" w:lineRule="exact"/>
              <w:jc w:val="center"/>
              <w:rPr>
                <w:rFonts w:hint="eastAsia" w:ascii="宋体" w:hAnsi="宋体" w:cs="宋体"/>
                <w:szCs w:val="21"/>
              </w:rPr>
            </w:pPr>
          </w:p>
        </w:tc>
        <w:tc>
          <w:tcPr>
            <w:tcW w:w="1161" w:type="dxa"/>
            <w:vAlign w:val="center"/>
          </w:tcPr>
          <w:p w14:paraId="48665073">
            <w:pPr>
              <w:snapToGrid w:val="0"/>
              <w:spacing w:line="340" w:lineRule="exact"/>
              <w:jc w:val="center"/>
              <w:rPr>
                <w:rFonts w:hint="eastAsia" w:ascii="宋体" w:hAnsi="宋体" w:cs="宋体"/>
                <w:szCs w:val="21"/>
              </w:rPr>
            </w:pPr>
          </w:p>
        </w:tc>
        <w:tc>
          <w:tcPr>
            <w:tcW w:w="903" w:type="dxa"/>
            <w:vAlign w:val="center"/>
          </w:tcPr>
          <w:p w14:paraId="18293055">
            <w:pPr>
              <w:snapToGrid w:val="0"/>
              <w:spacing w:line="340" w:lineRule="exact"/>
              <w:jc w:val="center"/>
              <w:rPr>
                <w:rFonts w:hint="eastAsia" w:ascii="宋体" w:hAnsi="宋体" w:cs="宋体"/>
                <w:szCs w:val="21"/>
              </w:rPr>
            </w:pPr>
          </w:p>
        </w:tc>
        <w:tc>
          <w:tcPr>
            <w:tcW w:w="892" w:type="dxa"/>
            <w:vAlign w:val="center"/>
          </w:tcPr>
          <w:p w14:paraId="7F2FFD93">
            <w:pPr>
              <w:snapToGrid w:val="0"/>
              <w:spacing w:line="340" w:lineRule="exact"/>
              <w:jc w:val="center"/>
              <w:rPr>
                <w:rFonts w:hint="eastAsia" w:ascii="宋体" w:hAnsi="宋体" w:cs="宋体"/>
                <w:szCs w:val="21"/>
              </w:rPr>
            </w:pPr>
          </w:p>
        </w:tc>
        <w:tc>
          <w:tcPr>
            <w:tcW w:w="863" w:type="dxa"/>
            <w:vAlign w:val="center"/>
          </w:tcPr>
          <w:p w14:paraId="6F1FE24A">
            <w:pPr>
              <w:snapToGrid w:val="0"/>
              <w:spacing w:line="340" w:lineRule="exact"/>
              <w:jc w:val="center"/>
              <w:rPr>
                <w:rFonts w:hint="eastAsia" w:ascii="宋体" w:hAnsi="宋体" w:cs="宋体"/>
                <w:szCs w:val="21"/>
              </w:rPr>
            </w:pPr>
          </w:p>
        </w:tc>
        <w:tc>
          <w:tcPr>
            <w:tcW w:w="1088" w:type="dxa"/>
            <w:vAlign w:val="center"/>
          </w:tcPr>
          <w:p w14:paraId="353934AF">
            <w:pPr>
              <w:snapToGrid w:val="0"/>
              <w:spacing w:line="340" w:lineRule="exact"/>
              <w:jc w:val="center"/>
              <w:rPr>
                <w:rFonts w:hint="eastAsia" w:ascii="宋体" w:hAnsi="宋体" w:cs="宋体"/>
                <w:szCs w:val="21"/>
              </w:rPr>
            </w:pPr>
          </w:p>
        </w:tc>
      </w:tr>
      <w:tr w14:paraId="185BD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8921" w:type="dxa"/>
            <w:gridSpan w:val="9"/>
            <w:vAlign w:val="center"/>
          </w:tcPr>
          <w:p w14:paraId="139A0FC6">
            <w:pPr>
              <w:snapToGrid w:val="0"/>
              <w:spacing w:line="340" w:lineRule="exact"/>
              <w:rPr>
                <w:rFonts w:hint="eastAsia" w:ascii="宋体" w:hAnsi="宋体" w:cs="宋体"/>
                <w:szCs w:val="21"/>
              </w:rPr>
            </w:pPr>
            <w:r>
              <w:rPr>
                <w:rFonts w:hint="eastAsia" w:ascii="宋体" w:hAnsi="宋体" w:cs="宋体"/>
                <w:szCs w:val="21"/>
              </w:rPr>
              <w:t>人民币合计金额（大写） ：                         （小写）：¥</w:t>
            </w:r>
            <w:r>
              <w:rPr>
                <w:rFonts w:hint="eastAsia" w:ascii="宋体" w:hAnsi="宋体" w:cs="宋体"/>
                <w:szCs w:val="21"/>
                <w:u w:val="single"/>
              </w:rPr>
              <w:t xml:space="preserve">               </w:t>
            </w:r>
          </w:p>
        </w:tc>
      </w:tr>
    </w:tbl>
    <w:p w14:paraId="15FFAD51">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合同合计金额包括货物价款，标准附件、备品备件、专用工具、包装、运输、装卸、保险、税金、办理免税手续相关费用、货到就位以及安装、调试、培训、保修等一切税金和费用。如招投标文件对其另有规定的，从其规定。</w:t>
      </w:r>
    </w:p>
    <w:p w14:paraId="0CA8C509">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第二条　质量保证</w:t>
      </w:r>
    </w:p>
    <w:p w14:paraId="419B9E1F">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1.乙方所提供的货物型号、技术规格、技术参数等质量必须与招投标文件和承诺相一致。乙方提供的节能和环保产品必须是列入政府采购清单的产品。</w:t>
      </w:r>
    </w:p>
    <w:p w14:paraId="0A0DD96A">
      <w:pPr>
        <w:snapToGrid w:val="0"/>
        <w:spacing w:line="340" w:lineRule="exact"/>
        <w:ind w:right="-330" w:rightChars="-157" w:firstLine="420" w:firstLineChars="200"/>
        <w:rPr>
          <w:rFonts w:hint="eastAsia" w:ascii="宋体" w:hAnsi="宋体" w:cs="宋体"/>
          <w:szCs w:val="21"/>
          <w:u w:val="single"/>
        </w:rPr>
      </w:pPr>
      <w:r>
        <w:rPr>
          <w:rFonts w:hint="eastAsia" w:ascii="宋体" w:hAnsi="宋体" w:cs="宋体"/>
          <w:szCs w:val="21"/>
        </w:rPr>
        <w:t>2.乙方所提供的货物必须是全新、未使用的原装产品，且在正常安装、使用和保养条件下，其使用寿命期内各项指标均达到质量要求。</w:t>
      </w:r>
    </w:p>
    <w:p w14:paraId="505A7C4B">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第三条　权利保证</w:t>
      </w:r>
    </w:p>
    <w:p w14:paraId="3A5F1958">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1.乙方应保证所提供货物在使用时不会侵犯任何第三方的专利权、商标权、工业设计权或其他权利。</w:t>
      </w:r>
    </w:p>
    <w:p w14:paraId="6D5C2579">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2.乙方应按招标文件规定的时间向甲方提供使用货物的有关技术资料。</w:t>
      </w:r>
    </w:p>
    <w:p w14:paraId="0316915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3D360C0">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4.乙方保证所交付的货物的所有权完全属于乙方且无任何抵押、查封等产权瑕疵。</w:t>
      </w:r>
    </w:p>
    <w:p w14:paraId="2F334F90">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第四条　包装和运输</w:t>
      </w:r>
    </w:p>
    <w:p w14:paraId="5E801F6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1.乙方提供的货物均应按招投标文件要求的包装材料、包装标准、包装方式进行包装，每一包装单元内应附详细的装箱单和质量合格证。</w:t>
      </w:r>
    </w:p>
    <w:p w14:paraId="744289D0">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2.货物的运输方式：</w:t>
      </w:r>
      <w:r>
        <w:rPr>
          <w:rFonts w:hint="eastAsia" w:ascii="宋体" w:hAnsi="宋体" w:cs="宋体"/>
          <w:szCs w:val="21"/>
          <w:u w:val="single"/>
        </w:rPr>
        <w:t xml:space="preserve">                            </w:t>
      </w:r>
      <w:r>
        <w:rPr>
          <w:rFonts w:hint="eastAsia" w:ascii="宋体" w:hAnsi="宋体" w:cs="宋体"/>
          <w:szCs w:val="21"/>
        </w:rPr>
        <w:t>。</w:t>
      </w:r>
    </w:p>
    <w:p w14:paraId="37ADDC03">
      <w:pPr>
        <w:snapToGrid w:val="0"/>
        <w:spacing w:line="340" w:lineRule="exact"/>
        <w:ind w:right="-330" w:rightChars="-157" w:firstLine="420" w:firstLineChars="200"/>
        <w:rPr>
          <w:rFonts w:hint="eastAsia" w:ascii="宋体" w:hAnsi="宋体" w:cs="宋体"/>
          <w:szCs w:val="21"/>
          <w:u w:val="single"/>
        </w:rPr>
      </w:pPr>
      <w:r>
        <w:rPr>
          <w:rFonts w:hint="eastAsia" w:ascii="宋体" w:hAnsi="宋体" w:cs="宋体"/>
          <w:szCs w:val="21"/>
        </w:rPr>
        <w:t>3.乙方负责货物运输，货物运输合理损耗及计算方法：</w:t>
      </w:r>
      <w:r>
        <w:rPr>
          <w:rFonts w:hint="eastAsia" w:ascii="宋体" w:hAnsi="宋体" w:cs="宋体"/>
          <w:szCs w:val="21"/>
          <w:u w:val="single"/>
        </w:rPr>
        <w:t xml:space="preserve">                                   </w:t>
      </w:r>
      <w:r>
        <w:rPr>
          <w:rFonts w:hint="eastAsia" w:ascii="宋体" w:hAnsi="宋体" w:cs="宋体"/>
          <w:szCs w:val="21"/>
        </w:rPr>
        <w:t>。</w:t>
      </w:r>
    </w:p>
    <w:p w14:paraId="23DE24DA">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第五条　交付和验收</w:t>
      </w:r>
    </w:p>
    <w:p w14:paraId="1C3876CB">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1.交货时间：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w:t>
      </w:r>
    </w:p>
    <w:p w14:paraId="3D321B0B">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2.乙方提供不符合招投标文件和本合同规定的货物，甲方有权拒绝接受。</w:t>
      </w:r>
    </w:p>
    <w:p w14:paraId="464451E8">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3.乙方应将所提供货物的装箱清单、用户手册、原厂保修卡、随机资料、工具和备品、备件等交付给甲方，如有缺失应及时补齐，否则视为逾期交货。</w:t>
      </w:r>
    </w:p>
    <w:p w14:paraId="4607141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4.甲方应当在到货（安装、调试完）后七个工作日内进行验收，逾期不验收的，乙方可视同验收合格。验收合格后由甲乙双方签署货物验收单并加盖采购单位CA电子签章</w:t>
      </w:r>
      <w:r>
        <w:rPr>
          <w:rFonts w:hint="eastAsia" w:ascii="宋体" w:hAnsi="宋体" w:cs="宋体"/>
          <w:szCs w:val="21"/>
          <w:lang w:val="en-US" w:eastAsia="zh-CN"/>
        </w:rPr>
        <w:t>或单位公章</w:t>
      </w:r>
      <w:r>
        <w:rPr>
          <w:rFonts w:hint="eastAsia" w:ascii="宋体" w:hAnsi="宋体" w:cs="宋体"/>
          <w:szCs w:val="21"/>
        </w:rPr>
        <w:t>，甲乙双方各执一份。</w:t>
      </w:r>
    </w:p>
    <w:p w14:paraId="189B666B">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5.采购人委托政府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1CB4CE19">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6.甲方对验收有异议的，在验收后五个工作日内以书面形式向乙方提出，乙方应自收到甲方书面异议后</w:t>
      </w:r>
      <w:r>
        <w:rPr>
          <w:rFonts w:hint="eastAsia" w:ascii="宋体" w:hAnsi="宋体" w:cs="宋体"/>
          <w:szCs w:val="21"/>
          <w:u w:val="single"/>
        </w:rPr>
        <w:t>五</w:t>
      </w:r>
      <w:r>
        <w:rPr>
          <w:rFonts w:hint="eastAsia" w:ascii="宋体" w:hAnsi="宋体" w:cs="宋体"/>
          <w:szCs w:val="21"/>
        </w:rPr>
        <w:t>日内及时予以解决。</w:t>
      </w:r>
    </w:p>
    <w:p w14:paraId="5F534389">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第六条　安装和培训</w:t>
      </w:r>
    </w:p>
    <w:p w14:paraId="1852D04A">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1.甲方应提供必要安装条件（如场地、电源、水源等）。</w:t>
      </w:r>
    </w:p>
    <w:p w14:paraId="3C0D617A">
      <w:pPr>
        <w:snapToGrid w:val="0"/>
        <w:spacing w:line="340" w:lineRule="exact"/>
        <w:ind w:right="-330" w:rightChars="-157" w:firstLine="420" w:firstLineChars="200"/>
        <w:rPr>
          <w:rFonts w:hint="eastAsia" w:ascii="宋体" w:hAnsi="宋体" w:cs="宋体"/>
          <w:szCs w:val="21"/>
          <w:u w:val="single"/>
        </w:rPr>
      </w:pPr>
      <w:r>
        <w:rPr>
          <w:rFonts w:hint="eastAsia" w:ascii="宋体" w:hAnsi="宋体" w:cs="宋体"/>
          <w:szCs w:val="21"/>
        </w:rPr>
        <w:t>2.乙方负责甲方有关人员的培训。培训时间、地点：</w:t>
      </w:r>
      <w:r>
        <w:rPr>
          <w:rFonts w:hint="eastAsia" w:ascii="宋体" w:hAnsi="宋体" w:cs="宋体"/>
          <w:szCs w:val="21"/>
          <w:u w:val="single"/>
        </w:rPr>
        <w:t>与甲方商议</w:t>
      </w:r>
      <w:r>
        <w:rPr>
          <w:rFonts w:hint="eastAsia" w:ascii="宋体" w:hAnsi="宋体" w:cs="宋体"/>
          <w:szCs w:val="21"/>
        </w:rPr>
        <w:t>。</w:t>
      </w:r>
    </w:p>
    <w:p w14:paraId="686160CE">
      <w:pPr>
        <w:snapToGrid w:val="0"/>
        <w:spacing w:line="340" w:lineRule="exact"/>
        <w:ind w:right="-330" w:rightChars="-157" w:firstLine="422" w:firstLineChars="200"/>
        <w:rPr>
          <w:rFonts w:hint="eastAsia" w:ascii="宋体" w:hAnsi="宋体" w:cs="宋体"/>
          <w:b/>
          <w:szCs w:val="21"/>
        </w:rPr>
      </w:pPr>
      <w:r>
        <w:rPr>
          <w:rFonts w:hint="eastAsia" w:ascii="宋体" w:hAnsi="宋体" w:cs="宋体"/>
          <w:b/>
          <w:szCs w:val="21"/>
        </w:rPr>
        <w:t>第七条  售后服务</w:t>
      </w:r>
    </w:p>
    <w:p w14:paraId="7ACBB6B8">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1.乙方应按照国家有关法律法规和“三包”规定以及招投标文件和本合同所附的《服务承诺》，为甲方提供售后服务。</w:t>
      </w:r>
    </w:p>
    <w:p w14:paraId="742DA2A8">
      <w:pPr>
        <w:snapToGrid w:val="0"/>
        <w:spacing w:line="340" w:lineRule="exact"/>
        <w:ind w:right="-330" w:rightChars="-157" w:firstLine="420" w:firstLineChars="200"/>
        <w:rPr>
          <w:rFonts w:hint="eastAsia" w:ascii="宋体" w:hAnsi="宋体" w:cs="宋体"/>
          <w:szCs w:val="21"/>
          <w:u w:val="single"/>
        </w:rPr>
      </w:pPr>
      <w:r>
        <w:rPr>
          <w:rFonts w:hint="eastAsia" w:ascii="宋体" w:hAnsi="宋体" w:cs="宋体"/>
          <w:szCs w:val="21"/>
        </w:rPr>
        <w:t>2.货物保修期：</w:t>
      </w:r>
      <w:r>
        <w:rPr>
          <w:rFonts w:hint="eastAsia" w:ascii="宋体" w:hAnsi="宋体" w:cs="宋体"/>
          <w:szCs w:val="21"/>
          <w:u w:val="single"/>
        </w:rPr>
        <w:t>详见投标文件及合同附件。</w:t>
      </w:r>
    </w:p>
    <w:p w14:paraId="15C603F1">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3.乙方提供的服务承诺和售后服务及保修期责任等其它具体约定事项。（见合同附件）</w:t>
      </w:r>
    </w:p>
    <w:p w14:paraId="6891E03B">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4.售后服务、保修时间从项目整体验收合格之日起计算。</w:t>
      </w:r>
    </w:p>
    <w:p w14:paraId="3F5433AA">
      <w:pPr>
        <w:snapToGrid w:val="0"/>
        <w:spacing w:line="340" w:lineRule="exact"/>
        <w:ind w:firstLine="422" w:firstLineChars="200"/>
        <w:rPr>
          <w:rFonts w:hint="eastAsia" w:ascii="宋体" w:hAnsi="宋体" w:cs="宋体"/>
          <w:b/>
          <w:szCs w:val="21"/>
        </w:rPr>
      </w:pPr>
      <w:r>
        <w:rPr>
          <w:rFonts w:hint="eastAsia" w:ascii="宋体" w:hAnsi="宋体" w:cs="宋体"/>
          <w:b/>
          <w:szCs w:val="21"/>
        </w:rPr>
        <w:t>第八条　付款方式和保证金</w:t>
      </w:r>
    </w:p>
    <w:p w14:paraId="1C4EE0BE">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1.当采购数量与实际使用数量不一致时，乙方应根据实际使用量供货，合同的最终结算金额按实际使用量乘以成交单价进行计算。</w:t>
      </w:r>
    </w:p>
    <w:p w14:paraId="1910A6A7">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2.资金性质：财政性资金。</w:t>
      </w:r>
    </w:p>
    <w:p w14:paraId="2ED60F0A">
      <w:pPr>
        <w:snapToGrid w:val="0"/>
        <w:spacing w:line="340" w:lineRule="exact"/>
        <w:ind w:firstLine="420" w:firstLineChars="200"/>
        <w:rPr>
          <w:rFonts w:hint="eastAsia" w:ascii="宋体" w:hAnsi="宋体" w:cs="宋体"/>
          <w:szCs w:val="21"/>
        </w:rPr>
      </w:pPr>
      <w:r>
        <w:rPr>
          <w:rFonts w:hint="eastAsia" w:ascii="宋体" w:hAnsi="宋体" w:cs="宋体"/>
          <w:szCs w:val="21"/>
        </w:rPr>
        <w:t>3.付款方式：</w:t>
      </w:r>
      <w:r>
        <w:rPr>
          <w:rFonts w:hint="eastAsia" w:ascii="宋体" w:hAnsi="宋体" w:cs="宋体"/>
          <w:szCs w:val="21"/>
          <w:u w:val="single"/>
        </w:rPr>
        <w:t>按各分标付款方式支付</w:t>
      </w:r>
    </w:p>
    <w:p w14:paraId="650BB937">
      <w:pPr>
        <w:snapToGrid w:val="0"/>
        <w:spacing w:line="340" w:lineRule="exact"/>
        <w:ind w:firstLine="422" w:firstLineChars="200"/>
        <w:rPr>
          <w:rFonts w:hint="eastAsia" w:ascii="宋体" w:hAnsi="宋体" w:cs="宋体"/>
          <w:b/>
          <w:szCs w:val="21"/>
        </w:rPr>
      </w:pPr>
      <w:r>
        <w:rPr>
          <w:rFonts w:hint="eastAsia" w:ascii="宋体" w:hAnsi="宋体" w:cs="宋体"/>
          <w:b/>
          <w:szCs w:val="21"/>
        </w:rPr>
        <w:t>第九条  税费</w:t>
      </w:r>
    </w:p>
    <w:p w14:paraId="0DCD50DE">
      <w:pPr>
        <w:snapToGrid w:val="0"/>
        <w:spacing w:line="340" w:lineRule="exact"/>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18A41EFB">
      <w:pPr>
        <w:snapToGrid w:val="0"/>
        <w:spacing w:line="340" w:lineRule="exact"/>
        <w:ind w:firstLine="422" w:firstLineChars="200"/>
        <w:rPr>
          <w:rFonts w:hint="eastAsia" w:ascii="宋体" w:hAnsi="宋体" w:cs="宋体"/>
          <w:b/>
          <w:szCs w:val="21"/>
        </w:rPr>
      </w:pPr>
      <w:r>
        <w:rPr>
          <w:rFonts w:hint="eastAsia" w:ascii="宋体" w:hAnsi="宋体" w:cs="宋体"/>
          <w:b/>
          <w:szCs w:val="21"/>
        </w:rPr>
        <w:t>第十条  质量保证及售后服务</w:t>
      </w:r>
    </w:p>
    <w:p w14:paraId="6B453DDA">
      <w:pPr>
        <w:snapToGrid w:val="0"/>
        <w:spacing w:line="340" w:lineRule="exact"/>
        <w:ind w:right="-611" w:rightChars="-291" w:firstLine="420" w:firstLineChars="200"/>
        <w:jc w:val="left"/>
        <w:rPr>
          <w:rFonts w:hint="eastAsia" w:ascii="宋体" w:hAnsi="宋体" w:cs="宋体"/>
          <w:szCs w:val="21"/>
        </w:rPr>
      </w:pPr>
      <w:r>
        <w:rPr>
          <w:rFonts w:hint="eastAsia" w:ascii="宋体" w:hAnsi="宋体" w:cs="宋体"/>
          <w:szCs w:val="21"/>
        </w:rPr>
        <w:t>1.乙方应按招标文件规定的货物性能、技术要求、质量标准向甲方提供未经使用的全新产品。不符合要求的，根据实际情况，经双方协商，可按以下办法处理：</w:t>
      </w:r>
    </w:p>
    <w:p w14:paraId="5A62B6A6">
      <w:pPr>
        <w:snapToGrid w:val="0"/>
        <w:spacing w:line="340" w:lineRule="exact"/>
        <w:ind w:right="-611" w:rightChars="-291" w:firstLine="420" w:firstLineChars="200"/>
        <w:jc w:val="left"/>
        <w:rPr>
          <w:rFonts w:hint="eastAsia" w:ascii="宋体" w:hAnsi="宋体" w:cs="宋体"/>
          <w:szCs w:val="21"/>
        </w:rPr>
      </w:pPr>
      <w:r>
        <w:rPr>
          <w:rFonts w:hint="eastAsia" w:ascii="宋体" w:hAnsi="宋体" w:cs="宋体"/>
          <w:szCs w:val="21"/>
        </w:rPr>
        <w:t>⑴更换：由乙方承担所发生的全部费用。</w:t>
      </w:r>
    </w:p>
    <w:p w14:paraId="1805F239">
      <w:pPr>
        <w:snapToGrid w:val="0"/>
        <w:spacing w:line="340" w:lineRule="exact"/>
        <w:ind w:right="-611" w:rightChars="-291" w:firstLine="420" w:firstLineChars="200"/>
        <w:jc w:val="left"/>
        <w:rPr>
          <w:rFonts w:hint="eastAsia" w:ascii="宋体" w:hAnsi="宋体" w:cs="宋体"/>
          <w:szCs w:val="21"/>
        </w:rPr>
      </w:pPr>
      <w:r>
        <w:rPr>
          <w:rFonts w:hint="eastAsia" w:ascii="宋体" w:hAnsi="宋体" w:cs="宋体"/>
          <w:szCs w:val="21"/>
        </w:rPr>
        <w:t>⑵贬值处理：由甲乙双方合议定价。</w:t>
      </w:r>
    </w:p>
    <w:p w14:paraId="372A281C">
      <w:pPr>
        <w:snapToGrid w:val="0"/>
        <w:spacing w:line="340" w:lineRule="exact"/>
        <w:ind w:right="-611" w:rightChars="-291" w:firstLine="420" w:firstLineChars="200"/>
        <w:jc w:val="left"/>
        <w:rPr>
          <w:rFonts w:hint="eastAsia" w:ascii="宋体" w:hAns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14:paraId="675184E0">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2.如在使用过程中发生质量问题，乙方在接到甲方通知后在</w:t>
      </w:r>
      <w:r>
        <w:rPr>
          <w:rFonts w:hint="eastAsia" w:ascii="宋体" w:hAnsi="宋体" w:cs="宋体"/>
          <w:szCs w:val="21"/>
          <w:u w:val="single"/>
        </w:rPr>
        <w:t xml:space="preserve">    </w:t>
      </w:r>
      <w:r>
        <w:rPr>
          <w:rFonts w:hint="eastAsia" w:ascii="宋体" w:hAnsi="宋体" w:cs="宋体"/>
          <w:szCs w:val="21"/>
        </w:rPr>
        <w:t>小时内到达甲方现场。</w:t>
      </w:r>
    </w:p>
    <w:p w14:paraId="3D6362E3">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3.在质保期内，乙方应对货物出现的质量及安全问题负责处理解决并承担一切费用。</w:t>
      </w:r>
    </w:p>
    <w:p w14:paraId="28D56C51">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4.上述的货物免费保修期为</w:t>
      </w:r>
      <w:r>
        <w:rPr>
          <w:rFonts w:hint="eastAsia" w:ascii="宋体" w:hAnsi="宋体" w:cs="宋体"/>
          <w:szCs w:val="21"/>
          <w:u w:val="single"/>
        </w:rPr>
        <w:t xml:space="preserve">     </w:t>
      </w:r>
      <w:r>
        <w:rPr>
          <w:rFonts w:hint="eastAsia" w:ascii="宋体" w:hAnsi="宋体" w:cs="宋体"/>
          <w:szCs w:val="21"/>
        </w:rPr>
        <w:t>年，因人为因素出现的故障不在免费保修范围内。超过保修期的机器设备，终生维修，维修时只收部件成本费。</w:t>
      </w:r>
    </w:p>
    <w:p w14:paraId="1EA92EB4">
      <w:pPr>
        <w:snapToGrid w:val="0"/>
        <w:spacing w:line="340" w:lineRule="exact"/>
        <w:ind w:firstLine="422" w:firstLineChars="200"/>
        <w:rPr>
          <w:rFonts w:hint="eastAsia" w:ascii="宋体" w:hAnsi="宋体" w:cs="宋体"/>
          <w:b/>
          <w:szCs w:val="21"/>
        </w:rPr>
      </w:pPr>
      <w:r>
        <w:rPr>
          <w:rFonts w:hint="eastAsia" w:ascii="宋体" w:hAnsi="宋体" w:cs="宋体"/>
          <w:b/>
          <w:szCs w:val="21"/>
        </w:rPr>
        <w:t>第十一条  调试和验收</w:t>
      </w:r>
    </w:p>
    <w:p w14:paraId="5B71699C">
      <w:pPr>
        <w:snapToGrid w:val="0"/>
        <w:spacing w:line="340" w:lineRule="exact"/>
        <w:ind w:right="-611" w:rightChars="-291" w:firstLine="420" w:firstLineChars="200"/>
        <w:jc w:val="left"/>
        <w:rPr>
          <w:rFonts w:hint="eastAsia" w:ascii="宋体" w:hAnsi="宋体" w:cs="宋体"/>
          <w:szCs w:val="21"/>
        </w:rPr>
      </w:pPr>
      <w:r>
        <w:rPr>
          <w:rFonts w:hint="eastAsia" w:ascii="宋体" w:hAnsi="宋体" w:cs="宋体"/>
          <w:szCs w:val="21"/>
        </w:rPr>
        <w:t>1.甲方对乙方提交的货物依据招标文件上的技术规格要求和国家有关质量标准进行现场初步验收，外观、说明书符合招标文件技术要求的，给予签收，初步验收不合格的不予签收。货到后，甲方应当在到货（安装、调试完）后七个工作日内进行验收。</w:t>
      </w:r>
    </w:p>
    <w:p w14:paraId="28ED64AF">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2.乙方交货前应对产品作出全面检查和对验收文件进行整理，并列出清单，作为甲方收货验收和使用的技术条件依据，检验的结果应随货物交甲方。</w:t>
      </w:r>
    </w:p>
    <w:p w14:paraId="363C4D57">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3.甲方对乙方提供的货物在使用前进行调试时，乙方需负责安装并培训甲方的使用操作人员，并协助甲方一起调试，直到符合技术要求，甲方才做最终验收。</w:t>
      </w:r>
    </w:p>
    <w:p w14:paraId="426FCC2F">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4.对技术复杂的货物，甲方应请国家认可的专业检测机构参与初步验收及最终验收，并由其出具质量检测报告。</w:t>
      </w:r>
    </w:p>
    <w:p w14:paraId="55F90F26">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5.验收时乙方必须在现场，验收完毕后作出验收结果报告；验收费用由乙方负责。</w:t>
      </w:r>
    </w:p>
    <w:p w14:paraId="4EC70A1B">
      <w:pPr>
        <w:snapToGrid w:val="0"/>
        <w:spacing w:line="340" w:lineRule="exact"/>
        <w:ind w:firstLine="422" w:firstLineChars="200"/>
        <w:rPr>
          <w:rFonts w:hint="eastAsia" w:ascii="宋体" w:hAnsi="宋体" w:cs="宋体"/>
          <w:b/>
          <w:szCs w:val="21"/>
        </w:rPr>
      </w:pPr>
      <w:r>
        <w:rPr>
          <w:rFonts w:hint="eastAsia" w:ascii="宋体" w:hAnsi="宋体" w:cs="宋体"/>
          <w:b/>
          <w:szCs w:val="21"/>
        </w:rPr>
        <w:t>第十二条  货物包装、发运及运输</w:t>
      </w:r>
    </w:p>
    <w:p w14:paraId="44DB9DD4">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1.乙方应在货物发运前对其进行满足运输距离、防潮、防震、防锈和防破损装卸等要求包装，以保证货物安全运达甲方指定地点。</w:t>
      </w:r>
    </w:p>
    <w:p w14:paraId="384296B2">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2.使用说明书、质量检验证明书、随配附件和工具以及清单一并附于货物内。</w:t>
      </w:r>
    </w:p>
    <w:p w14:paraId="6D9C0BD8">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3.乙方在货物发运手续办理完毕后二十四小时内或货到甲方四十八小时前通知甲方，以准备接货。</w:t>
      </w:r>
    </w:p>
    <w:p w14:paraId="167F4DDD">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4.货物在交付甲方前发生的风险均由乙方负责。</w:t>
      </w:r>
    </w:p>
    <w:p w14:paraId="2CDADC72">
      <w:pPr>
        <w:snapToGrid w:val="0"/>
        <w:spacing w:line="340" w:lineRule="exact"/>
        <w:ind w:right="-611" w:rightChars="-291" w:firstLine="420" w:firstLineChars="200"/>
        <w:rPr>
          <w:rFonts w:hint="eastAsia" w:ascii="宋体" w:hAnsi="宋体" w:cs="宋体"/>
          <w:szCs w:val="21"/>
        </w:rPr>
      </w:pPr>
      <w:r>
        <w:rPr>
          <w:rFonts w:hint="eastAsia" w:ascii="宋体" w:hAnsi="宋体" w:cs="宋体"/>
          <w:szCs w:val="21"/>
        </w:rPr>
        <w:t>5.货物在规定的交付期限内由乙方送达甲方指定的地点视为交付，乙方同时需通知甲方货物已送达。</w:t>
      </w:r>
    </w:p>
    <w:p w14:paraId="6347CDFD">
      <w:pPr>
        <w:snapToGrid w:val="0"/>
        <w:spacing w:line="340" w:lineRule="exact"/>
        <w:ind w:firstLine="422" w:firstLineChars="200"/>
        <w:rPr>
          <w:rFonts w:hint="eastAsia" w:ascii="宋体" w:hAnsi="宋体" w:cs="宋体"/>
          <w:b/>
          <w:szCs w:val="21"/>
        </w:rPr>
      </w:pPr>
      <w:r>
        <w:rPr>
          <w:rFonts w:hint="eastAsia" w:ascii="宋体" w:hAnsi="宋体" w:cs="宋体"/>
          <w:b/>
          <w:szCs w:val="21"/>
        </w:rPr>
        <w:t>第十三条 违约责任</w:t>
      </w:r>
    </w:p>
    <w:p w14:paraId="54B6552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1.乙方所提供的货物规格、技术标准、材料等质量不合格的，应及时更换，更换不及时的按逾期交货处罚；因质量问题甲方不同意接收的或特殊情况甲方同意接收的，乙方应向甲方支付违约货款额</w:t>
      </w:r>
      <w:r>
        <w:rPr>
          <w:rFonts w:hint="eastAsia" w:ascii="宋体" w:hAnsi="宋体" w:cs="宋体"/>
          <w:szCs w:val="21"/>
          <w:u w:val="single"/>
        </w:rPr>
        <w:t xml:space="preserve"> 5%</w:t>
      </w:r>
      <w:r>
        <w:rPr>
          <w:rFonts w:hint="eastAsia" w:ascii="宋体" w:hAnsi="宋体" w:cs="宋体"/>
          <w:szCs w:val="21"/>
        </w:rPr>
        <w:t xml:space="preserve">违约金并赔偿甲方经济损失。                                       </w:t>
      </w:r>
    </w:p>
    <w:p w14:paraId="71EE7942">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2.乙方提供的货物如侵犯了第三方合法权益而引发的任何纠纷或诉讼，均由乙方负责交涉并承担全部责任。</w:t>
      </w:r>
    </w:p>
    <w:p w14:paraId="64AED7FA">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3.因包装、运输引起的货物损坏，按质量不合格处理。</w:t>
      </w:r>
    </w:p>
    <w:p w14:paraId="22A08D87">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4.乙方逾期交货的，每天向甲方偿付违约货款额3‰违约金，但违约金累计不得超过合同金额的</w:t>
      </w:r>
      <w:r>
        <w:rPr>
          <w:rFonts w:hint="eastAsia" w:ascii="宋体" w:hAnsi="宋体" w:cs="宋体"/>
          <w:szCs w:val="21"/>
          <w:u w:val="single"/>
        </w:rPr>
        <w:t>5%</w:t>
      </w:r>
      <w:r>
        <w:rPr>
          <w:rFonts w:hint="eastAsia" w:ascii="宋体" w:hAnsi="宋体" w:cs="宋体"/>
          <w:szCs w:val="21"/>
        </w:rPr>
        <w:t>，超过</w:t>
      </w:r>
      <w:r>
        <w:rPr>
          <w:rFonts w:hint="eastAsia" w:ascii="宋体" w:hAnsi="宋体" w:cs="宋体"/>
          <w:szCs w:val="21"/>
          <w:u w:val="single"/>
        </w:rPr>
        <w:t xml:space="preserve"> 10 </w:t>
      </w:r>
      <w:r>
        <w:rPr>
          <w:rFonts w:hint="eastAsia" w:ascii="宋体" w:hAnsi="宋体" w:cs="宋体"/>
          <w:szCs w:val="21"/>
        </w:rPr>
        <w:t>天甲方有权解除合同，乙方承担因此给甲方造成的经济损失；甲方延期付货款的，每天向乙方偿付延期货款额3‰违约金，但违约金累计不得超过合同金额的</w:t>
      </w:r>
      <w:r>
        <w:rPr>
          <w:rFonts w:hint="eastAsia" w:ascii="宋体" w:hAnsi="宋体" w:cs="宋体"/>
          <w:szCs w:val="21"/>
          <w:u w:val="single"/>
        </w:rPr>
        <w:t>5%</w:t>
      </w:r>
      <w:r>
        <w:rPr>
          <w:rFonts w:hint="eastAsia" w:ascii="宋体" w:hAnsi="宋体" w:cs="宋体"/>
          <w:szCs w:val="21"/>
        </w:rPr>
        <w:t>。</w:t>
      </w:r>
    </w:p>
    <w:p w14:paraId="0462499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5.乙方未按本合同和投标文件中规定的服务承诺提供售后服务的，乙方应按本合同合计金额</w:t>
      </w:r>
      <w:r>
        <w:rPr>
          <w:rFonts w:hint="eastAsia" w:ascii="宋体" w:hAnsi="宋体" w:cs="宋体"/>
          <w:szCs w:val="21"/>
          <w:u w:val="single"/>
        </w:rPr>
        <w:t>5%</w:t>
      </w:r>
      <w:r>
        <w:rPr>
          <w:rFonts w:hint="eastAsia" w:ascii="宋体" w:hAnsi="宋体" w:cs="宋体"/>
          <w:szCs w:val="21"/>
        </w:rPr>
        <w:t>向甲方支付违约金。</w:t>
      </w:r>
    </w:p>
    <w:p w14:paraId="49AED025">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6.乙方提供的货物在质量保证期内，因设计、工艺或材料的缺陷和其它质量原因造成的问题，由乙方负责，费用从未付款项中扣除，不足另补。</w:t>
      </w:r>
    </w:p>
    <w:p w14:paraId="5273F98D">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7.其它违约行为按违约货款额</w:t>
      </w:r>
      <w:r>
        <w:rPr>
          <w:rFonts w:hint="eastAsia" w:ascii="宋体" w:hAnsi="宋体" w:cs="宋体"/>
          <w:szCs w:val="21"/>
          <w:u w:val="single"/>
        </w:rPr>
        <w:t>5%</w:t>
      </w:r>
      <w:r>
        <w:rPr>
          <w:rFonts w:hint="eastAsia" w:ascii="宋体" w:hAnsi="宋体" w:cs="宋体"/>
          <w:szCs w:val="21"/>
        </w:rPr>
        <w:t>收取违约金并赔偿经济损失。</w:t>
      </w:r>
    </w:p>
    <w:p w14:paraId="46397575">
      <w:pPr>
        <w:snapToGrid w:val="0"/>
        <w:spacing w:line="340" w:lineRule="exact"/>
        <w:ind w:firstLine="422" w:firstLineChars="200"/>
        <w:rPr>
          <w:rFonts w:hint="eastAsia" w:ascii="宋体" w:hAnsi="宋体" w:cs="宋体"/>
          <w:b/>
          <w:szCs w:val="21"/>
        </w:rPr>
      </w:pPr>
      <w:r>
        <w:rPr>
          <w:rFonts w:hint="eastAsia" w:ascii="宋体" w:hAnsi="宋体" w:cs="宋体"/>
          <w:b/>
          <w:szCs w:val="21"/>
        </w:rPr>
        <w:t>第十四条 不可抗力事件处理</w:t>
      </w:r>
    </w:p>
    <w:p w14:paraId="255BDE2D">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14:paraId="50672190">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2.不可抗力事件发生后，应立即通知对方，并寄送有关权威机构出具的证明。</w:t>
      </w:r>
    </w:p>
    <w:p w14:paraId="1F7F7A84">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3.不可抗力事件延续一百二十天以上，双方应通过友好协商，确定是否继续履行合同。</w:t>
      </w:r>
    </w:p>
    <w:p w14:paraId="788BCE53">
      <w:pPr>
        <w:snapToGrid w:val="0"/>
        <w:spacing w:line="340" w:lineRule="exact"/>
        <w:ind w:firstLine="422" w:firstLineChars="200"/>
        <w:rPr>
          <w:rFonts w:hint="eastAsia" w:ascii="宋体" w:hAnsi="宋体" w:cs="宋体"/>
          <w:b/>
          <w:szCs w:val="21"/>
        </w:rPr>
      </w:pPr>
      <w:r>
        <w:rPr>
          <w:rFonts w:hint="eastAsia" w:ascii="宋体" w:hAnsi="宋体" w:cs="宋体"/>
          <w:b/>
          <w:szCs w:val="21"/>
        </w:rPr>
        <w:t>第十五条  合同争议解决</w:t>
      </w:r>
    </w:p>
    <w:p w14:paraId="26774515">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1.因货物质量问题发生争议的，应邀请国家认可的质量检测机构对货物质量进行鉴定。货物符合标准的，鉴定费由甲方承担；货物不符合标准的，鉴定费由乙方承担。</w:t>
      </w:r>
    </w:p>
    <w:p w14:paraId="48A20514">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2.因履行本合同引起的或与本合同有关的争议，甲乙双方应首先通过友好协商解决，如果协商不能解决，可向甲方所在地的人民法院提起诉讼。</w:t>
      </w:r>
    </w:p>
    <w:p w14:paraId="0AA9B0ED">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3.诉讼期间，本合同继续履行。</w:t>
      </w:r>
    </w:p>
    <w:p w14:paraId="2AF533B7">
      <w:pPr>
        <w:snapToGrid w:val="0"/>
        <w:spacing w:line="340" w:lineRule="exact"/>
        <w:ind w:firstLine="422" w:firstLineChars="200"/>
        <w:rPr>
          <w:rFonts w:hint="eastAsia" w:ascii="宋体" w:hAnsi="宋体" w:cs="宋体"/>
          <w:b/>
          <w:szCs w:val="21"/>
        </w:rPr>
      </w:pPr>
      <w:r>
        <w:rPr>
          <w:rFonts w:hint="eastAsia" w:ascii="宋体" w:hAnsi="宋体" w:cs="宋体"/>
          <w:b/>
          <w:szCs w:val="21"/>
        </w:rPr>
        <w:t>第十六条  合同生效及其它</w:t>
      </w:r>
    </w:p>
    <w:p w14:paraId="1BCDAF20">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1.合同经双方法定代表人或授权代表签字并加盖单位CA电子签章</w:t>
      </w:r>
      <w:r>
        <w:rPr>
          <w:rFonts w:hint="eastAsia" w:ascii="宋体" w:hAnsi="宋体" w:cs="宋体"/>
          <w:szCs w:val="21"/>
          <w:lang w:val="en-US" w:eastAsia="zh-CN"/>
        </w:rPr>
        <w:t>或单位公章</w:t>
      </w:r>
      <w:r>
        <w:rPr>
          <w:rFonts w:hint="eastAsia" w:ascii="宋体" w:hAnsi="宋体" w:cs="宋体"/>
          <w:szCs w:val="21"/>
        </w:rPr>
        <w:t>后生效。</w:t>
      </w:r>
    </w:p>
    <w:p w14:paraId="3CC42894">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2.合同执行中涉及采购资金和采购内容修改或补充的，须经财政部门审批，并签书面补充协议报财政部门备案，方可作为主合同不可分割的一部分。</w:t>
      </w:r>
    </w:p>
    <w:p w14:paraId="4C559A52">
      <w:pPr>
        <w:snapToGrid w:val="0"/>
        <w:spacing w:line="340" w:lineRule="exact"/>
        <w:ind w:right="-470" w:rightChars="-224" w:firstLine="420" w:firstLineChars="200"/>
        <w:rPr>
          <w:rFonts w:hint="eastAsia" w:ascii="宋体" w:hAnsi="宋体" w:cs="宋体"/>
          <w:szCs w:val="21"/>
        </w:rPr>
      </w:pPr>
      <w:r>
        <w:rPr>
          <w:rFonts w:hint="eastAsia" w:ascii="宋体" w:hAnsi="宋体" w:cs="宋体"/>
          <w:szCs w:val="21"/>
        </w:rPr>
        <w:t>3.本合同未尽事宜，遵照《中华人民共和国民法典》有关条文执行。</w:t>
      </w:r>
    </w:p>
    <w:p w14:paraId="0B0E0C7E">
      <w:pPr>
        <w:snapToGrid w:val="0"/>
        <w:spacing w:line="340" w:lineRule="exact"/>
        <w:ind w:firstLine="422" w:firstLineChars="200"/>
        <w:rPr>
          <w:rFonts w:hint="eastAsia" w:ascii="宋体" w:hAnsi="宋体" w:cs="宋体"/>
          <w:b/>
          <w:szCs w:val="21"/>
        </w:rPr>
      </w:pPr>
      <w:r>
        <w:rPr>
          <w:rFonts w:hint="eastAsia" w:ascii="宋体" w:hAnsi="宋体" w:cs="宋体"/>
          <w:b/>
          <w:szCs w:val="21"/>
        </w:rPr>
        <w:t>第十七条　合同的变更、终止与转让</w:t>
      </w:r>
    </w:p>
    <w:p w14:paraId="3501E2F0">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1.除《中华人民共和国政府采购法》第五十条规定的情形外，本合同一经签订，甲乙双方不得擅自变更、中止或终止。</w:t>
      </w:r>
    </w:p>
    <w:p w14:paraId="246BEEA0">
      <w:pPr>
        <w:snapToGrid w:val="0"/>
        <w:spacing w:line="340" w:lineRule="exact"/>
        <w:ind w:right="-330" w:rightChars="-157" w:firstLine="420" w:firstLineChars="200"/>
        <w:rPr>
          <w:rFonts w:hint="eastAsia" w:ascii="宋体" w:hAnsi="宋体" w:cs="宋体"/>
          <w:szCs w:val="21"/>
        </w:rPr>
      </w:pPr>
      <w:r>
        <w:rPr>
          <w:rFonts w:hint="eastAsia" w:ascii="宋体" w:hAnsi="宋体" w:cs="宋体"/>
          <w:szCs w:val="21"/>
        </w:rPr>
        <w:t>2.乙方不得擅自转让（无进口资格的供应商委托进口货物除外）其应履行的合同义务。</w:t>
      </w:r>
    </w:p>
    <w:p w14:paraId="5BAE3701">
      <w:pPr>
        <w:snapToGrid w:val="0"/>
        <w:spacing w:line="340" w:lineRule="exact"/>
        <w:ind w:firstLine="422" w:firstLineChars="200"/>
        <w:rPr>
          <w:rFonts w:hint="eastAsia" w:ascii="宋体" w:hAnsi="宋体" w:cs="宋体"/>
          <w:b/>
          <w:szCs w:val="21"/>
        </w:rPr>
      </w:pPr>
      <w:r>
        <w:rPr>
          <w:rFonts w:hint="eastAsia" w:ascii="宋体" w:hAnsi="宋体" w:cs="宋体"/>
          <w:b/>
          <w:szCs w:val="21"/>
        </w:rPr>
        <w:t>第十八条　签订本合同依据</w:t>
      </w:r>
    </w:p>
    <w:p w14:paraId="45811B1F">
      <w:pPr>
        <w:snapToGrid w:val="0"/>
        <w:spacing w:line="340" w:lineRule="exact"/>
        <w:ind w:firstLine="420" w:firstLineChars="200"/>
        <w:rPr>
          <w:rFonts w:hint="eastAsia" w:ascii="宋体" w:hAnsi="宋体" w:cs="宋体"/>
          <w:szCs w:val="21"/>
        </w:rPr>
      </w:pPr>
      <w:r>
        <w:rPr>
          <w:rFonts w:hint="eastAsia" w:ascii="宋体" w:hAnsi="宋体" w:cs="宋体"/>
          <w:szCs w:val="21"/>
        </w:rPr>
        <w:t>1.政府采购招标文件；</w:t>
      </w:r>
    </w:p>
    <w:p w14:paraId="04FA5479">
      <w:pPr>
        <w:snapToGrid w:val="0"/>
        <w:spacing w:line="340" w:lineRule="exact"/>
        <w:ind w:firstLine="420" w:firstLineChars="200"/>
        <w:rPr>
          <w:rFonts w:hint="eastAsia" w:ascii="宋体" w:hAnsi="宋体" w:cs="宋体"/>
          <w:szCs w:val="21"/>
        </w:rPr>
      </w:pPr>
      <w:r>
        <w:rPr>
          <w:rFonts w:hint="eastAsia" w:ascii="宋体" w:hAnsi="宋体" w:cs="宋体"/>
          <w:szCs w:val="21"/>
        </w:rPr>
        <w:t>2.乙方提供的投标文件；</w:t>
      </w:r>
    </w:p>
    <w:p w14:paraId="12876221">
      <w:pPr>
        <w:snapToGrid w:val="0"/>
        <w:spacing w:line="340" w:lineRule="exact"/>
        <w:ind w:firstLine="420" w:firstLineChars="200"/>
        <w:rPr>
          <w:rFonts w:hint="eastAsia" w:ascii="宋体" w:hAnsi="宋体" w:cs="宋体"/>
          <w:szCs w:val="21"/>
        </w:rPr>
      </w:pPr>
      <w:r>
        <w:rPr>
          <w:rFonts w:hint="eastAsia" w:ascii="宋体" w:hAnsi="宋体" w:cs="宋体"/>
          <w:szCs w:val="21"/>
        </w:rPr>
        <w:t>3.中标通知书。</w:t>
      </w:r>
    </w:p>
    <w:p w14:paraId="6ECC39FE">
      <w:pPr>
        <w:snapToGrid w:val="0"/>
        <w:spacing w:line="340" w:lineRule="exact"/>
        <w:ind w:right="-754" w:rightChars="-359" w:firstLine="422" w:firstLineChars="200"/>
        <w:rPr>
          <w:rFonts w:hint="eastAsia" w:ascii="宋体" w:hAnsi="宋体" w:cs="宋体"/>
          <w:szCs w:val="21"/>
        </w:rPr>
      </w:pPr>
      <w:r>
        <w:rPr>
          <w:rFonts w:hint="eastAsia" w:ascii="宋体" w:hAnsi="宋体" w:cs="宋体"/>
          <w:b/>
          <w:szCs w:val="21"/>
        </w:rPr>
        <w:t>第十九条　</w:t>
      </w:r>
      <w:r>
        <w:rPr>
          <w:rFonts w:hint="eastAsia" w:ascii="宋体" w:hAnsi="宋体" w:cs="宋体"/>
          <w:szCs w:val="21"/>
        </w:rPr>
        <w:t>本合同一式</w:t>
      </w:r>
      <w:r>
        <w:rPr>
          <w:rFonts w:hint="eastAsia" w:ascii="宋体" w:hAnsi="宋体" w:cs="宋体"/>
          <w:szCs w:val="21"/>
          <w:u w:val="single"/>
        </w:rPr>
        <w:t xml:space="preserve">  五 </w:t>
      </w:r>
      <w:r>
        <w:rPr>
          <w:rFonts w:hint="eastAsia" w:ascii="宋体" w:hAnsi="宋体" w:cs="宋体"/>
          <w:szCs w:val="21"/>
        </w:rPr>
        <w:t>份，具有同等法律效力，采购代理机构一份，甲方</w:t>
      </w:r>
      <w:r>
        <w:rPr>
          <w:rFonts w:hint="eastAsia" w:ascii="宋体" w:hAnsi="宋体" w:cs="宋体"/>
          <w:szCs w:val="21"/>
          <w:u w:val="single"/>
        </w:rPr>
        <w:t xml:space="preserve"> 二 </w:t>
      </w:r>
      <w:r>
        <w:rPr>
          <w:rFonts w:hint="eastAsia" w:ascii="宋体" w:hAnsi="宋体" w:cs="宋体"/>
          <w:szCs w:val="21"/>
        </w:rPr>
        <w:t>份，乙方</w:t>
      </w:r>
      <w:r>
        <w:rPr>
          <w:rFonts w:hint="eastAsia" w:ascii="宋体" w:hAnsi="宋体" w:cs="宋体"/>
          <w:szCs w:val="21"/>
          <w:u w:val="single"/>
        </w:rPr>
        <w:t xml:space="preserve"> 二 </w:t>
      </w:r>
      <w:r>
        <w:rPr>
          <w:rFonts w:hint="eastAsia" w:ascii="宋体" w:hAnsi="宋体" w:cs="宋体"/>
          <w:szCs w:val="21"/>
        </w:rPr>
        <w:t>份（可根据需要另增加）。</w:t>
      </w:r>
    </w:p>
    <w:p w14:paraId="2BD9B358">
      <w:pPr>
        <w:snapToGrid w:val="0"/>
        <w:spacing w:line="320" w:lineRule="exact"/>
        <w:ind w:firstLine="420" w:firstLineChars="200"/>
        <w:rPr>
          <w:rFonts w:hint="eastAsia" w:ascii="宋体" w:hAnsi="宋体" w:cs="宋体"/>
          <w:szCs w:val="21"/>
        </w:rPr>
      </w:pPr>
    </w:p>
    <w:tbl>
      <w:tblPr>
        <w:tblStyle w:val="1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74014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59C20A5D">
            <w:pPr>
              <w:snapToGrid w:val="0"/>
              <w:spacing w:line="320" w:lineRule="exact"/>
              <w:rPr>
                <w:rFonts w:hint="eastAsia" w:ascii="宋体" w:hAnsi="宋体" w:cs="宋体"/>
                <w:szCs w:val="21"/>
              </w:rPr>
            </w:pPr>
            <w:r>
              <w:rPr>
                <w:rFonts w:hint="eastAsia" w:ascii="宋体" w:hAnsi="宋体" w:cs="宋体"/>
                <w:szCs w:val="21"/>
              </w:rPr>
              <w:t xml:space="preserve">甲方（章）           </w:t>
            </w:r>
          </w:p>
          <w:p w14:paraId="041471FF">
            <w:pPr>
              <w:pStyle w:val="5"/>
            </w:pPr>
          </w:p>
          <w:p w14:paraId="1F65FFCE">
            <w:pPr>
              <w:snapToGrid w:val="0"/>
              <w:spacing w:line="320" w:lineRule="exact"/>
              <w:ind w:firstLine="420" w:firstLineChars="200"/>
              <w:jc w:val="right"/>
              <w:rPr>
                <w:rFonts w:hint="eastAsia" w:ascii="宋体" w:hAnsi="宋体" w:cs="宋体"/>
                <w:szCs w:val="21"/>
              </w:rPr>
            </w:pPr>
            <w:r>
              <w:rPr>
                <w:rFonts w:hint="eastAsia" w:ascii="宋体" w:hAnsi="宋体" w:cs="宋体"/>
                <w:szCs w:val="21"/>
              </w:rPr>
              <w:t>年   月   日</w:t>
            </w:r>
          </w:p>
        </w:tc>
        <w:tc>
          <w:tcPr>
            <w:tcW w:w="4820" w:type="dxa"/>
            <w:vAlign w:val="center"/>
          </w:tcPr>
          <w:p w14:paraId="27135635">
            <w:pPr>
              <w:snapToGrid w:val="0"/>
              <w:spacing w:line="320" w:lineRule="exact"/>
              <w:rPr>
                <w:rFonts w:hint="eastAsia" w:ascii="宋体" w:hAnsi="宋体" w:cs="宋体"/>
                <w:szCs w:val="21"/>
              </w:rPr>
            </w:pPr>
            <w:r>
              <w:rPr>
                <w:rFonts w:hint="eastAsia" w:ascii="宋体" w:hAnsi="宋体" w:cs="宋体"/>
                <w:szCs w:val="21"/>
              </w:rPr>
              <w:t xml:space="preserve">乙方（章）     </w:t>
            </w:r>
          </w:p>
          <w:p w14:paraId="2BDEF6F6">
            <w:pPr>
              <w:snapToGrid w:val="0"/>
              <w:spacing w:line="320" w:lineRule="exact"/>
              <w:rPr>
                <w:rFonts w:hint="eastAsia" w:ascii="宋体" w:hAnsi="宋体" w:cs="宋体"/>
                <w:szCs w:val="21"/>
              </w:rPr>
            </w:pPr>
            <w:r>
              <w:rPr>
                <w:rFonts w:hint="eastAsia" w:ascii="宋体" w:hAnsi="宋体" w:cs="宋体"/>
                <w:szCs w:val="21"/>
              </w:rPr>
              <w:t xml:space="preserve">         </w:t>
            </w:r>
          </w:p>
          <w:p w14:paraId="23B50EB1">
            <w:pPr>
              <w:snapToGrid w:val="0"/>
              <w:spacing w:line="320" w:lineRule="exact"/>
              <w:ind w:firstLine="420" w:firstLineChars="200"/>
              <w:jc w:val="right"/>
              <w:rPr>
                <w:rFonts w:hint="eastAsia" w:ascii="宋体" w:hAnsi="宋体" w:cs="宋体"/>
                <w:szCs w:val="21"/>
              </w:rPr>
            </w:pPr>
            <w:r>
              <w:rPr>
                <w:rFonts w:hint="eastAsia" w:ascii="宋体" w:hAnsi="宋体" w:cs="宋体"/>
                <w:szCs w:val="21"/>
              </w:rPr>
              <w:t xml:space="preserve"> 年   月   日</w:t>
            </w:r>
          </w:p>
        </w:tc>
      </w:tr>
      <w:tr w14:paraId="1B2F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714757FF">
            <w:pPr>
              <w:snapToGrid w:val="0"/>
              <w:spacing w:line="320" w:lineRule="exact"/>
              <w:rPr>
                <w:rFonts w:hint="eastAsia" w:ascii="宋体" w:hAnsi="宋体" w:cs="宋体"/>
                <w:szCs w:val="21"/>
              </w:rPr>
            </w:pPr>
            <w:r>
              <w:rPr>
                <w:rFonts w:hint="eastAsia" w:ascii="宋体" w:hAnsi="宋体" w:cs="宋体"/>
                <w:szCs w:val="21"/>
              </w:rPr>
              <w:t>单位地址：</w:t>
            </w:r>
          </w:p>
        </w:tc>
        <w:tc>
          <w:tcPr>
            <w:tcW w:w="4820" w:type="dxa"/>
            <w:vAlign w:val="center"/>
          </w:tcPr>
          <w:p w14:paraId="5907CC25">
            <w:pPr>
              <w:snapToGrid w:val="0"/>
              <w:spacing w:line="320" w:lineRule="exact"/>
              <w:rPr>
                <w:rFonts w:hint="eastAsia" w:ascii="宋体" w:hAnsi="宋体" w:cs="宋体"/>
                <w:szCs w:val="21"/>
              </w:rPr>
            </w:pPr>
            <w:r>
              <w:rPr>
                <w:rFonts w:hint="eastAsia" w:ascii="宋体" w:hAnsi="宋体" w:cs="宋体"/>
                <w:szCs w:val="21"/>
              </w:rPr>
              <w:t>单位地址：</w:t>
            </w:r>
          </w:p>
        </w:tc>
      </w:tr>
      <w:tr w14:paraId="4F10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086879DE">
            <w:pPr>
              <w:snapToGrid w:val="0"/>
              <w:spacing w:line="320" w:lineRule="exact"/>
              <w:rPr>
                <w:rFonts w:hint="eastAsia" w:ascii="宋体" w:hAnsi="宋体" w:cs="宋体"/>
                <w:szCs w:val="21"/>
              </w:rPr>
            </w:pPr>
            <w:r>
              <w:rPr>
                <w:rFonts w:hint="eastAsia" w:ascii="宋体" w:hAnsi="宋体" w:cs="宋体"/>
                <w:szCs w:val="21"/>
              </w:rPr>
              <w:t>法定代表人或委托代理人：</w:t>
            </w:r>
          </w:p>
        </w:tc>
        <w:tc>
          <w:tcPr>
            <w:tcW w:w="4820" w:type="dxa"/>
            <w:vAlign w:val="center"/>
          </w:tcPr>
          <w:p w14:paraId="2B17E748">
            <w:pPr>
              <w:snapToGrid w:val="0"/>
              <w:spacing w:line="320" w:lineRule="exact"/>
              <w:rPr>
                <w:rFonts w:hint="eastAsia" w:ascii="宋体" w:hAnsi="宋体" w:cs="宋体"/>
                <w:szCs w:val="21"/>
              </w:rPr>
            </w:pPr>
            <w:r>
              <w:rPr>
                <w:rFonts w:hint="eastAsia" w:ascii="宋体" w:hAnsi="宋体" w:cs="宋体"/>
                <w:szCs w:val="21"/>
              </w:rPr>
              <w:t>法定代表人或委托代理人：</w:t>
            </w:r>
          </w:p>
        </w:tc>
      </w:tr>
      <w:tr w14:paraId="1E43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471A1787">
            <w:pPr>
              <w:snapToGrid w:val="0"/>
              <w:spacing w:line="320" w:lineRule="exact"/>
              <w:rPr>
                <w:rFonts w:hint="eastAsia" w:ascii="宋体" w:hAnsi="宋体" w:cs="宋体"/>
                <w:szCs w:val="21"/>
              </w:rPr>
            </w:pPr>
            <w:r>
              <w:rPr>
                <w:rFonts w:hint="eastAsia" w:ascii="宋体" w:hAnsi="宋体" w:cs="宋体"/>
                <w:szCs w:val="21"/>
              </w:rPr>
              <w:t>电    话：</w:t>
            </w:r>
          </w:p>
        </w:tc>
        <w:tc>
          <w:tcPr>
            <w:tcW w:w="4820" w:type="dxa"/>
            <w:vAlign w:val="center"/>
          </w:tcPr>
          <w:p w14:paraId="4F056D69">
            <w:pPr>
              <w:snapToGrid w:val="0"/>
              <w:spacing w:line="320" w:lineRule="exact"/>
              <w:rPr>
                <w:rFonts w:hint="eastAsia" w:ascii="宋体" w:hAnsi="宋体" w:cs="宋体"/>
                <w:szCs w:val="21"/>
              </w:rPr>
            </w:pPr>
            <w:r>
              <w:rPr>
                <w:rFonts w:hint="eastAsia" w:ascii="宋体" w:hAnsi="宋体" w:cs="宋体"/>
                <w:szCs w:val="21"/>
              </w:rPr>
              <w:t>电    话：</w:t>
            </w:r>
          </w:p>
        </w:tc>
      </w:tr>
      <w:tr w14:paraId="164C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113D98EE">
            <w:pPr>
              <w:snapToGrid w:val="0"/>
              <w:spacing w:line="320" w:lineRule="exact"/>
              <w:rPr>
                <w:rFonts w:hint="eastAsia" w:ascii="宋体" w:hAnsi="宋体" w:cs="宋体"/>
                <w:szCs w:val="21"/>
              </w:rPr>
            </w:pPr>
            <w:r>
              <w:rPr>
                <w:rFonts w:hint="eastAsia" w:ascii="宋体" w:hAnsi="宋体" w:cs="宋体"/>
                <w:szCs w:val="21"/>
              </w:rPr>
              <w:t>电子邮箱：</w:t>
            </w:r>
          </w:p>
        </w:tc>
        <w:tc>
          <w:tcPr>
            <w:tcW w:w="4820" w:type="dxa"/>
            <w:vAlign w:val="center"/>
          </w:tcPr>
          <w:p w14:paraId="0320A454">
            <w:pPr>
              <w:snapToGrid w:val="0"/>
              <w:spacing w:line="320" w:lineRule="exact"/>
              <w:rPr>
                <w:rFonts w:hint="eastAsia" w:ascii="宋体" w:hAnsi="宋体" w:cs="宋体"/>
                <w:szCs w:val="21"/>
              </w:rPr>
            </w:pPr>
            <w:r>
              <w:rPr>
                <w:rFonts w:hint="eastAsia" w:ascii="宋体" w:hAnsi="宋体" w:cs="宋体"/>
                <w:szCs w:val="21"/>
              </w:rPr>
              <w:t>电子邮箱：</w:t>
            </w:r>
          </w:p>
        </w:tc>
      </w:tr>
      <w:tr w14:paraId="7C56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1BFBE153">
            <w:pPr>
              <w:snapToGrid w:val="0"/>
              <w:spacing w:line="320" w:lineRule="exact"/>
              <w:rPr>
                <w:rFonts w:hint="eastAsia" w:ascii="宋体" w:hAnsi="宋体" w:cs="宋体"/>
                <w:szCs w:val="21"/>
              </w:rPr>
            </w:pPr>
            <w:r>
              <w:rPr>
                <w:rFonts w:hint="eastAsia" w:ascii="宋体" w:hAnsi="宋体" w:cs="宋体"/>
                <w:szCs w:val="21"/>
              </w:rPr>
              <w:t>开户银行：</w:t>
            </w:r>
          </w:p>
        </w:tc>
        <w:tc>
          <w:tcPr>
            <w:tcW w:w="4820" w:type="dxa"/>
            <w:vAlign w:val="center"/>
          </w:tcPr>
          <w:p w14:paraId="28FFE739">
            <w:pPr>
              <w:snapToGrid w:val="0"/>
              <w:spacing w:line="320" w:lineRule="exact"/>
              <w:rPr>
                <w:rFonts w:hint="eastAsia" w:ascii="宋体" w:hAnsi="宋体" w:cs="宋体"/>
                <w:szCs w:val="21"/>
              </w:rPr>
            </w:pPr>
            <w:r>
              <w:rPr>
                <w:rFonts w:hint="eastAsia" w:ascii="宋体" w:hAnsi="宋体" w:cs="宋体"/>
                <w:szCs w:val="21"/>
              </w:rPr>
              <w:t>开户银行：</w:t>
            </w:r>
          </w:p>
        </w:tc>
      </w:tr>
      <w:tr w14:paraId="5088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14E62EAA">
            <w:pPr>
              <w:snapToGrid w:val="0"/>
              <w:spacing w:line="320" w:lineRule="exact"/>
              <w:rPr>
                <w:rFonts w:hint="eastAsia" w:ascii="宋体" w:hAnsi="宋体" w:cs="宋体"/>
                <w:szCs w:val="21"/>
              </w:rPr>
            </w:pPr>
            <w:r>
              <w:rPr>
                <w:rFonts w:hint="eastAsia" w:ascii="宋体" w:hAnsi="宋体" w:cs="宋体"/>
                <w:szCs w:val="21"/>
              </w:rPr>
              <w:t>账    号：</w:t>
            </w:r>
          </w:p>
        </w:tc>
        <w:tc>
          <w:tcPr>
            <w:tcW w:w="4820" w:type="dxa"/>
            <w:vAlign w:val="center"/>
          </w:tcPr>
          <w:p w14:paraId="5D98F8A9">
            <w:pPr>
              <w:snapToGrid w:val="0"/>
              <w:spacing w:line="320" w:lineRule="exact"/>
              <w:rPr>
                <w:rFonts w:hint="eastAsia" w:ascii="宋体" w:hAnsi="宋体" w:cs="宋体"/>
                <w:szCs w:val="21"/>
              </w:rPr>
            </w:pPr>
            <w:r>
              <w:rPr>
                <w:rFonts w:hint="eastAsia" w:ascii="宋体" w:hAnsi="宋体" w:cs="宋体"/>
                <w:szCs w:val="21"/>
              </w:rPr>
              <w:t>账    号：</w:t>
            </w:r>
          </w:p>
        </w:tc>
      </w:tr>
      <w:tr w14:paraId="1AC3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678" w:type="dxa"/>
            <w:vAlign w:val="center"/>
          </w:tcPr>
          <w:p w14:paraId="1B108FB7">
            <w:pPr>
              <w:snapToGrid w:val="0"/>
              <w:spacing w:line="320" w:lineRule="exact"/>
              <w:rPr>
                <w:rFonts w:hint="eastAsia" w:ascii="宋体" w:hAnsi="宋体" w:cs="宋体"/>
                <w:szCs w:val="21"/>
              </w:rPr>
            </w:pPr>
            <w:r>
              <w:rPr>
                <w:rFonts w:hint="eastAsia" w:ascii="宋体" w:hAnsi="宋体" w:cs="宋体"/>
                <w:szCs w:val="21"/>
              </w:rPr>
              <w:t>邮政编码：</w:t>
            </w:r>
          </w:p>
        </w:tc>
        <w:tc>
          <w:tcPr>
            <w:tcW w:w="4820" w:type="dxa"/>
            <w:vAlign w:val="center"/>
          </w:tcPr>
          <w:p w14:paraId="656625C3">
            <w:pPr>
              <w:snapToGrid w:val="0"/>
              <w:spacing w:line="320" w:lineRule="exact"/>
              <w:rPr>
                <w:rFonts w:hint="eastAsia" w:ascii="宋体" w:hAnsi="宋体" w:cs="宋体"/>
                <w:szCs w:val="21"/>
              </w:rPr>
            </w:pPr>
            <w:r>
              <w:rPr>
                <w:rFonts w:hint="eastAsia" w:ascii="宋体" w:hAnsi="宋体" w:cs="宋体"/>
                <w:szCs w:val="21"/>
              </w:rPr>
              <w:t>邮政编码：</w:t>
            </w:r>
          </w:p>
        </w:tc>
      </w:tr>
      <w:tr w14:paraId="4B1D8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9498" w:type="dxa"/>
            <w:gridSpan w:val="2"/>
          </w:tcPr>
          <w:p w14:paraId="5BCD22CB">
            <w:pPr>
              <w:snapToGrid w:val="0"/>
              <w:spacing w:line="320" w:lineRule="exact"/>
              <w:rPr>
                <w:rFonts w:hint="eastAsia" w:ascii="宋体" w:hAnsi="宋体" w:cs="宋体"/>
                <w:szCs w:val="21"/>
              </w:rPr>
            </w:pPr>
            <w:r>
              <w:rPr>
                <w:rFonts w:hint="eastAsia" w:ascii="宋体" w:hAnsi="宋体" w:cs="宋体"/>
                <w:szCs w:val="21"/>
              </w:rPr>
              <w:t>经办人：</w:t>
            </w:r>
          </w:p>
          <w:p w14:paraId="67BCA547">
            <w:pPr>
              <w:snapToGrid w:val="0"/>
              <w:spacing w:line="320" w:lineRule="exact"/>
              <w:ind w:firstLine="420" w:firstLineChars="200"/>
              <w:jc w:val="right"/>
              <w:rPr>
                <w:rFonts w:hint="eastAsia" w:ascii="宋体" w:hAnsi="宋体" w:cs="宋体"/>
                <w:szCs w:val="21"/>
              </w:rPr>
            </w:pPr>
            <w:r>
              <w:rPr>
                <w:rFonts w:hint="eastAsia" w:ascii="宋体" w:hAnsi="宋体" w:cs="宋体"/>
                <w:szCs w:val="21"/>
              </w:rPr>
              <w:t>年    月    日</w:t>
            </w:r>
          </w:p>
        </w:tc>
      </w:tr>
    </w:tbl>
    <w:p w14:paraId="0E8B7BE0">
      <w:pPr>
        <w:snapToGrid w:val="0"/>
        <w:rPr>
          <w:rFonts w:hint="eastAsia" w:ascii="宋体" w:hAnsi="宋体" w:cs="宋体"/>
          <w:szCs w:val="21"/>
        </w:rPr>
        <w:sectPr>
          <w:pgSz w:w="11906" w:h="16838"/>
          <w:pgMar w:top="1440" w:right="1440" w:bottom="1440" w:left="1440" w:header="851" w:footer="992" w:gutter="0"/>
          <w:cols w:space="720" w:num="1"/>
          <w:docGrid w:linePitch="312" w:charSpace="0"/>
        </w:sectPr>
      </w:pPr>
    </w:p>
    <w:p w14:paraId="44D358F1">
      <w:pPr>
        <w:snapToGrid w:val="0"/>
        <w:jc w:val="center"/>
        <w:rPr>
          <w:rFonts w:ascii="仿宋_GB2312" w:eastAsia="仿宋_GB2312"/>
          <w:b/>
          <w:sz w:val="28"/>
          <w:szCs w:val="28"/>
        </w:rPr>
      </w:pPr>
      <w:r>
        <w:rPr>
          <w:rFonts w:hint="eastAsia" w:ascii="仿宋_GB2312" w:eastAsia="仿宋_GB2312"/>
          <w:b/>
          <w:sz w:val="28"/>
          <w:szCs w:val="28"/>
        </w:rPr>
        <w:t>合 同 附 件</w:t>
      </w:r>
    </w:p>
    <w:p w14:paraId="7B07E233">
      <w:pPr>
        <w:snapToGrid w:val="0"/>
        <w:ind w:firstLine="240" w:firstLineChars="100"/>
        <w:rPr>
          <w:rFonts w:ascii="仿宋_GB2312" w:eastAsia="仿宋_GB2312"/>
          <w:b/>
          <w:sz w:val="24"/>
        </w:rPr>
      </w:pPr>
      <w:r>
        <w:rPr>
          <w:rFonts w:hint="eastAsia" w:ascii="仿宋_GB2312" w:eastAsia="仿宋_GB2312"/>
          <w:sz w:val="24"/>
        </w:rPr>
        <w:t>一般货物类</w:t>
      </w:r>
    </w:p>
    <w:tbl>
      <w:tblPr>
        <w:tblStyle w:val="17"/>
        <w:tblW w:w="9072" w:type="dxa"/>
        <w:tblInd w:w="108" w:type="dxa"/>
        <w:tblLayout w:type="fixed"/>
        <w:tblCellMar>
          <w:top w:w="0" w:type="dxa"/>
          <w:left w:w="108" w:type="dxa"/>
          <w:bottom w:w="0" w:type="dxa"/>
          <w:right w:w="108" w:type="dxa"/>
        </w:tblCellMar>
      </w:tblPr>
      <w:tblGrid>
        <w:gridCol w:w="4678"/>
        <w:gridCol w:w="4394"/>
      </w:tblGrid>
      <w:tr w14:paraId="2B55A4AF">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787DB7C2">
            <w:pPr>
              <w:snapToGrid w:val="0"/>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9FF89C9">
            <w:pPr>
              <w:snapToGrid w:val="0"/>
              <w:spacing w:line="276" w:lineRule="auto"/>
              <w:rPr>
                <w:rFonts w:ascii="仿宋_GB2312" w:eastAsia="仿宋_GB2312"/>
                <w:sz w:val="24"/>
              </w:rPr>
            </w:pPr>
            <w:r>
              <w:rPr>
                <w:rFonts w:hint="eastAsia" w:ascii="仿宋_GB2312" w:eastAsia="仿宋_GB2312"/>
                <w:sz w:val="24"/>
              </w:rPr>
              <w:t xml:space="preserve">    </w:t>
            </w:r>
          </w:p>
        </w:tc>
      </w:tr>
      <w:tr w14:paraId="23588CC5">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0F9B9E0D">
            <w:pPr>
              <w:snapToGrid w:val="0"/>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售后服务具体事项：</w:t>
            </w:r>
          </w:p>
          <w:p w14:paraId="600B0F58">
            <w:pPr>
              <w:snapToGrid w:val="0"/>
              <w:spacing w:line="276" w:lineRule="auto"/>
              <w:rPr>
                <w:rFonts w:ascii="仿宋_GB2312" w:eastAsia="仿宋_GB2312"/>
                <w:sz w:val="24"/>
              </w:rPr>
            </w:pPr>
            <w:r>
              <w:rPr>
                <w:rFonts w:hint="eastAsia" w:ascii="仿宋_GB2312" w:eastAsia="仿宋_GB2312"/>
                <w:sz w:val="24"/>
              </w:rPr>
              <w:t xml:space="preserve">    </w:t>
            </w:r>
          </w:p>
        </w:tc>
      </w:tr>
      <w:tr w14:paraId="79851ED4">
        <w:tblPrEx>
          <w:tblCellMar>
            <w:top w:w="0" w:type="dxa"/>
            <w:left w:w="108" w:type="dxa"/>
            <w:bottom w:w="0" w:type="dxa"/>
            <w:right w:w="108" w:type="dxa"/>
          </w:tblCellMar>
        </w:tblPrEx>
        <w:trPr>
          <w:trHeight w:val="1820" w:hRule="atLeast"/>
        </w:trPr>
        <w:tc>
          <w:tcPr>
            <w:tcW w:w="9072" w:type="dxa"/>
            <w:gridSpan w:val="2"/>
            <w:tcBorders>
              <w:top w:val="single" w:color="auto" w:sz="4" w:space="0"/>
              <w:left w:val="single" w:color="auto" w:sz="4" w:space="0"/>
              <w:bottom w:val="nil"/>
              <w:right w:val="single" w:color="auto" w:sz="4" w:space="0"/>
            </w:tcBorders>
          </w:tcPr>
          <w:p w14:paraId="171D2754">
            <w:pPr>
              <w:snapToGrid w:val="0"/>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保修期责任：</w:t>
            </w:r>
          </w:p>
          <w:p w14:paraId="547A791D">
            <w:pPr>
              <w:snapToGrid w:val="0"/>
              <w:spacing w:line="276" w:lineRule="auto"/>
              <w:rPr>
                <w:rFonts w:ascii="仿宋_GB2312" w:eastAsia="仿宋_GB2312"/>
                <w:sz w:val="24"/>
              </w:rPr>
            </w:pPr>
            <w:r>
              <w:rPr>
                <w:rFonts w:hint="eastAsia" w:ascii="仿宋_GB2312" w:eastAsia="仿宋_GB2312"/>
                <w:sz w:val="24"/>
              </w:rPr>
              <w:t xml:space="preserve">    </w:t>
            </w:r>
          </w:p>
        </w:tc>
      </w:tr>
      <w:tr w14:paraId="38AE495D">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02FCAE4B">
            <w:pPr>
              <w:snapToGrid w:val="0"/>
              <w:rPr>
                <w:rFonts w:ascii="仿宋_GB2312" w:eastAsia="仿宋_GB2312"/>
                <w:sz w:val="24"/>
              </w:rPr>
            </w:pPr>
            <w:r>
              <w:rPr>
                <w:rFonts w:hint="eastAsia" w:ascii="仿宋_GB2312" w:eastAsia="仿宋_GB2312"/>
                <w:sz w:val="24"/>
              </w:rPr>
              <w:t>4</w:t>
            </w:r>
            <w:r>
              <w:rPr>
                <w:rFonts w:hint="eastAsia" w:ascii="仿宋_GB2312" w:hAnsi="宋体" w:eastAsia="仿宋_GB2312"/>
                <w:sz w:val="24"/>
              </w:rPr>
              <w:t>.</w:t>
            </w:r>
            <w:r>
              <w:rPr>
                <w:rFonts w:hint="eastAsia" w:ascii="仿宋_GB2312" w:eastAsia="仿宋_GB2312"/>
                <w:sz w:val="24"/>
              </w:rPr>
              <w:t>其他具体事项：</w:t>
            </w:r>
          </w:p>
          <w:p w14:paraId="32B72FB7">
            <w:pPr>
              <w:snapToGrid w:val="0"/>
              <w:rPr>
                <w:rFonts w:ascii="仿宋_GB2312" w:eastAsia="仿宋_GB2312"/>
                <w:sz w:val="24"/>
              </w:rPr>
            </w:pPr>
          </w:p>
        </w:tc>
      </w:tr>
      <w:tr w14:paraId="297D8E40">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1414303">
            <w:pPr>
              <w:snapToGrid w:val="0"/>
              <w:spacing w:line="276" w:lineRule="auto"/>
              <w:rPr>
                <w:rFonts w:ascii="仿宋_GB2312" w:eastAsia="仿宋_GB2312"/>
                <w:sz w:val="24"/>
              </w:rPr>
            </w:pPr>
            <w:r>
              <w:rPr>
                <w:rFonts w:hint="eastAsia" w:ascii="仿宋_GB2312" w:eastAsia="仿宋_GB2312"/>
                <w:sz w:val="24"/>
              </w:rPr>
              <w:t>甲方（章）</w:t>
            </w:r>
          </w:p>
          <w:p w14:paraId="0FB495D8">
            <w:pPr>
              <w:snapToGrid w:val="0"/>
              <w:spacing w:line="276" w:lineRule="auto"/>
              <w:ind w:firstLine="480" w:firstLineChars="200"/>
              <w:rPr>
                <w:rFonts w:ascii="仿宋_GB2312" w:eastAsia="仿宋_GB2312"/>
                <w:sz w:val="24"/>
              </w:rPr>
            </w:pPr>
          </w:p>
          <w:p w14:paraId="1DE54B73">
            <w:pPr>
              <w:snapToGrid w:val="0"/>
              <w:spacing w:line="276" w:lineRule="auto"/>
              <w:ind w:firstLine="480" w:firstLineChars="200"/>
              <w:rPr>
                <w:rFonts w:ascii="仿宋_GB2312" w:eastAsia="仿宋_GB2312"/>
                <w:sz w:val="24"/>
              </w:rPr>
            </w:pPr>
          </w:p>
          <w:p w14:paraId="008C354D">
            <w:pPr>
              <w:snapToGrid w:val="0"/>
              <w:spacing w:line="276" w:lineRule="auto"/>
              <w:ind w:firstLine="480" w:firstLineChars="200"/>
              <w:rPr>
                <w:rFonts w:ascii="仿宋_GB2312" w:eastAsia="仿宋_GB2312"/>
                <w:sz w:val="24"/>
              </w:rPr>
            </w:pPr>
          </w:p>
          <w:p w14:paraId="1DE57922">
            <w:pPr>
              <w:snapToGrid w:val="0"/>
              <w:spacing w:line="276" w:lineRule="auto"/>
              <w:ind w:firstLine="480" w:firstLineChars="200"/>
              <w:rPr>
                <w:rFonts w:ascii="仿宋_GB2312" w:eastAsia="仿宋_GB2312"/>
                <w:sz w:val="24"/>
              </w:rPr>
            </w:pPr>
          </w:p>
          <w:p w14:paraId="0764BCA3">
            <w:pPr>
              <w:snapToGrid w:val="0"/>
              <w:spacing w:line="276" w:lineRule="auto"/>
              <w:ind w:firstLine="480" w:firstLineChars="200"/>
              <w:rPr>
                <w:rFonts w:ascii="仿宋_GB2312" w:eastAsia="仿宋_GB2312"/>
                <w:sz w:val="24"/>
              </w:rPr>
            </w:pPr>
          </w:p>
          <w:p w14:paraId="3EA5696E">
            <w:pPr>
              <w:snapToGrid w:val="0"/>
              <w:spacing w:line="276" w:lineRule="auto"/>
              <w:ind w:firstLine="480" w:firstLineChars="200"/>
              <w:rPr>
                <w:rFonts w:ascii="仿宋_GB2312" w:eastAsia="仿宋_GB2312"/>
                <w:sz w:val="24"/>
              </w:rPr>
            </w:pPr>
          </w:p>
          <w:p w14:paraId="6ACA899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770D92A3">
            <w:pPr>
              <w:snapToGrid w:val="0"/>
              <w:spacing w:line="276" w:lineRule="auto"/>
              <w:rPr>
                <w:rFonts w:ascii="仿宋_GB2312" w:eastAsia="仿宋_GB2312"/>
                <w:sz w:val="24"/>
              </w:rPr>
            </w:pPr>
            <w:r>
              <w:rPr>
                <w:rFonts w:hint="eastAsia" w:ascii="仿宋_GB2312" w:eastAsia="仿宋_GB2312"/>
                <w:sz w:val="24"/>
              </w:rPr>
              <w:t>乙方（章）</w:t>
            </w:r>
          </w:p>
          <w:p w14:paraId="5EBF7252">
            <w:pPr>
              <w:snapToGrid w:val="0"/>
              <w:spacing w:line="276" w:lineRule="auto"/>
              <w:ind w:firstLine="480" w:firstLineChars="200"/>
              <w:rPr>
                <w:rFonts w:ascii="仿宋_GB2312" w:eastAsia="仿宋_GB2312"/>
                <w:sz w:val="24"/>
              </w:rPr>
            </w:pPr>
          </w:p>
          <w:p w14:paraId="71919E69">
            <w:pPr>
              <w:snapToGrid w:val="0"/>
              <w:spacing w:line="276" w:lineRule="auto"/>
              <w:ind w:firstLine="480" w:firstLineChars="200"/>
              <w:rPr>
                <w:rFonts w:ascii="仿宋_GB2312" w:eastAsia="仿宋_GB2312"/>
                <w:sz w:val="24"/>
              </w:rPr>
            </w:pPr>
          </w:p>
          <w:p w14:paraId="7A770E30">
            <w:pPr>
              <w:snapToGrid w:val="0"/>
              <w:spacing w:line="276" w:lineRule="auto"/>
              <w:ind w:firstLine="480" w:firstLineChars="200"/>
              <w:rPr>
                <w:rFonts w:ascii="仿宋_GB2312" w:eastAsia="仿宋_GB2312"/>
                <w:sz w:val="24"/>
              </w:rPr>
            </w:pPr>
          </w:p>
          <w:p w14:paraId="446844F1">
            <w:pPr>
              <w:snapToGrid w:val="0"/>
              <w:spacing w:line="276" w:lineRule="auto"/>
              <w:ind w:firstLine="480" w:firstLineChars="200"/>
              <w:rPr>
                <w:rFonts w:ascii="仿宋_GB2312" w:eastAsia="仿宋_GB2312"/>
                <w:sz w:val="24"/>
              </w:rPr>
            </w:pPr>
          </w:p>
          <w:p w14:paraId="6F29B4FA">
            <w:pPr>
              <w:snapToGrid w:val="0"/>
              <w:spacing w:line="276" w:lineRule="auto"/>
              <w:ind w:firstLine="480" w:firstLineChars="200"/>
              <w:rPr>
                <w:rFonts w:ascii="仿宋_GB2312" w:eastAsia="仿宋_GB2312"/>
                <w:sz w:val="24"/>
              </w:rPr>
            </w:pPr>
          </w:p>
          <w:p w14:paraId="2E10DC73">
            <w:pPr>
              <w:snapToGrid w:val="0"/>
              <w:spacing w:line="276" w:lineRule="auto"/>
              <w:ind w:firstLine="480" w:firstLineChars="200"/>
              <w:rPr>
                <w:rFonts w:ascii="仿宋_GB2312" w:eastAsia="仿宋_GB2312"/>
                <w:sz w:val="24"/>
              </w:rPr>
            </w:pPr>
          </w:p>
          <w:p w14:paraId="57E5E48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16C288C8">
      <w:pPr>
        <w:snapToGrid w:val="0"/>
        <w:ind w:firstLine="480" w:firstLineChars="200"/>
        <w:rPr>
          <w:rFonts w:ascii="仿宋_GB2312" w:eastAsia="仿宋_GB2312"/>
          <w:sz w:val="24"/>
        </w:rPr>
        <w:sectPr>
          <w:pgSz w:w="11906" w:h="16838"/>
          <w:pgMar w:top="1440" w:right="1440" w:bottom="1440" w:left="1440" w:header="851" w:footer="992" w:gutter="0"/>
          <w:cols w:space="720" w:num="1"/>
          <w:docGrid w:linePitch="312" w:charSpace="0"/>
        </w:sectPr>
      </w:pPr>
      <w:r>
        <w:rPr>
          <w:rFonts w:hint="eastAsia" w:ascii="仿宋_GB2312" w:eastAsia="仿宋_GB2312"/>
          <w:sz w:val="24"/>
        </w:rPr>
        <w:t>注：售后服务事项填不下时可另加附页</w:t>
      </w:r>
    </w:p>
    <w:p w14:paraId="7C7F2502">
      <w:pPr>
        <w:spacing w:before="120" w:beforeLines="50" w:after="480" w:afterLines="200" w:line="340" w:lineRule="exact"/>
        <w:jc w:val="center"/>
        <w:rPr>
          <w:b/>
          <w:kern w:val="0"/>
          <w:sz w:val="32"/>
          <w:szCs w:val="32"/>
        </w:rPr>
      </w:pPr>
      <w:r>
        <w:rPr>
          <w:rFonts w:hint="eastAsia"/>
          <w:b/>
          <w:bCs/>
          <w:kern w:val="0"/>
          <w:sz w:val="32"/>
          <w:szCs w:val="32"/>
        </w:rPr>
        <w:t>广西壮族自治区政府采购项目</w:t>
      </w:r>
      <w:r>
        <w:rPr>
          <w:rFonts w:hint="eastAsia"/>
          <w:b/>
          <w:kern w:val="0"/>
          <w:sz w:val="32"/>
          <w:szCs w:val="32"/>
        </w:rPr>
        <w:t>合同验收书（格式）</w:t>
      </w:r>
    </w:p>
    <w:p w14:paraId="34BBC785">
      <w:pPr>
        <w:spacing w:line="340" w:lineRule="exact"/>
        <w:ind w:firstLine="420" w:firstLineChars="200"/>
        <w:rPr>
          <w:rFonts w:ascii="仿宋_GB2312" w:eastAsia="仿宋_GB2312"/>
          <w:kern w:val="0"/>
          <w:szCs w:val="21"/>
        </w:rPr>
      </w:pPr>
      <w:r>
        <w:rPr>
          <w:rFonts w:hint="eastAsia" w:ascii="仿宋_GB2312" w:hAnsi="宋体" w:eastAsia="仿宋_GB2312" w:cs="宋体"/>
          <w:kern w:val="0"/>
          <w:szCs w:val="21"/>
        </w:rPr>
        <w:t>根据政府采购项目（采购合同编号：</w:t>
      </w:r>
      <w:r>
        <w:rPr>
          <w:rFonts w:hint="eastAsia" w:ascii="仿宋_GB2312" w:hAnsi="宋体" w:eastAsia="仿宋_GB2312" w:cs="宋体"/>
          <w:kern w:val="0"/>
          <w:szCs w:val="21"/>
        </w:rPr>
        <w:softHyphen/>
      </w:r>
      <w:r>
        <w:rPr>
          <w:rFonts w:hint="eastAsia" w:ascii="仿宋_GB2312" w:hAnsi="宋体" w:eastAsia="仿宋_GB2312" w:cs="宋体"/>
          <w:kern w:val="0"/>
          <w:szCs w:val="21"/>
        </w:rPr>
        <w:t>   ）的约定，我单位对（ 项目名称 ）政府采购项目中标供应商（ 公司名称 ）提供的货物进行了验收</w:t>
      </w:r>
      <w:r>
        <w:rPr>
          <w:rFonts w:hint="eastAsia" w:ascii="仿宋_GB2312" w:eastAsia="仿宋_GB2312"/>
          <w:kern w:val="0"/>
          <w:szCs w:val="21"/>
        </w:rPr>
        <w:t>，验收情况如下：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984"/>
        <w:gridCol w:w="426"/>
        <w:gridCol w:w="2551"/>
        <w:gridCol w:w="98"/>
        <w:gridCol w:w="1556"/>
        <w:gridCol w:w="1487"/>
      </w:tblGrid>
      <w:tr w14:paraId="51D2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gridSpan w:val="2"/>
            <w:tcBorders>
              <w:top w:val="single" w:color="auto" w:sz="4" w:space="0"/>
              <w:left w:val="single" w:color="auto" w:sz="4" w:space="0"/>
              <w:bottom w:val="single" w:color="auto" w:sz="4" w:space="0"/>
              <w:right w:val="single" w:color="auto" w:sz="4" w:space="0"/>
            </w:tcBorders>
          </w:tcPr>
          <w:p w14:paraId="22E214A8">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118" w:type="dxa"/>
            <w:gridSpan w:val="5"/>
            <w:tcBorders>
              <w:top w:val="single" w:color="auto" w:sz="4" w:space="0"/>
              <w:left w:val="single" w:color="auto" w:sz="4" w:space="0"/>
              <w:bottom w:val="single" w:color="auto" w:sz="4" w:space="0"/>
              <w:right w:val="single" w:color="auto" w:sz="4" w:space="0"/>
            </w:tcBorders>
          </w:tcPr>
          <w:p w14:paraId="563F349E">
            <w:pPr>
              <w:spacing w:line="340" w:lineRule="exact"/>
              <w:jc w:val="center"/>
              <w:rPr>
                <w:rFonts w:ascii="仿宋_GB2312" w:eastAsia="仿宋_GB2312"/>
                <w:b/>
                <w:szCs w:val="21"/>
              </w:rPr>
            </w:pPr>
            <w:r>
              <w:rPr>
                <w:rFonts w:hint="eastAsia" w:ascii="仿宋_GB2312" w:eastAsia="仿宋_GB2312"/>
                <w:kern w:val="0"/>
                <w:szCs w:val="21"/>
              </w:rPr>
              <w:t>□自行验收</w:t>
            </w:r>
            <w:r>
              <w:rPr>
                <w:rFonts w:eastAsia="仿宋_GB2312"/>
                <w:kern w:val="0"/>
                <w:szCs w:val="21"/>
              </w:rPr>
              <w:t>    </w:t>
            </w:r>
            <w:r>
              <w:rPr>
                <w:rFonts w:hint="eastAsia" w:ascii="仿宋_GB2312" w:eastAsia="仿宋_GB2312"/>
                <w:kern w:val="0"/>
                <w:szCs w:val="21"/>
              </w:rPr>
              <w:t>□委托验收</w:t>
            </w:r>
          </w:p>
        </w:tc>
      </w:tr>
      <w:tr w14:paraId="068C8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0F7D1F7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984" w:type="dxa"/>
            <w:tcBorders>
              <w:top w:val="single" w:color="auto" w:sz="4" w:space="0"/>
              <w:left w:val="single" w:color="auto" w:sz="4" w:space="0"/>
              <w:bottom w:val="single" w:color="auto" w:sz="4" w:space="0"/>
              <w:right w:val="single" w:color="auto" w:sz="4" w:space="0"/>
            </w:tcBorders>
            <w:vAlign w:val="center"/>
          </w:tcPr>
          <w:p w14:paraId="4E2BDDB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eastAsia="仿宋_GB2312"/>
                <w:kern w:val="0"/>
                <w:szCs w:val="21"/>
              </w:rPr>
              <w:t> </w:t>
            </w:r>
            <w:r>
              <w:rPr>
                <w:rFonts w:hint="eastAsia" w:ascii="仿宋_GB2312" w:eastAsia="仿宋_GB2312"/>
                <w:kern w:val="0"/>
                <w:szCs w:val="21"/>
              </w:rPr>
              <w:t>称</w:t>
            </w: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3E64B2B">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货物型号规格、标准及配置等</w:t>
            </w:r>
          </w:p>
        </w:tc>
        <w:tc>
          <w:tcPr>
            <w:tcW w:w="1556" w:type="dxa"/>
            <w:tcBorders>
              <w:top w:val="single" w:color="auto" w:sz="4" w:space="0"/>
              <w:left w:val="single" w:color="auto" w:sz="4" w:space="0"/>
              <w:bottom w:val="single" w:color="auto" w:sz="4" w:space="0"/>
              <w:right w:val="single" w:color="auto" w:sz="4" w:space="0"/>
            </w:tcBorders>
            <w:vAlign w:val="center"/>
          </w:tcPr>
          <w:p w14:paraId="34DE6A3E">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87" w:type="dxa"/>
            <w:tcBorders>
              <w:top w:val="single" w:color="auto" w:sz="4" w:space="0"/>
              <w:left w:val="single" w:color="auto" w:sz="4" w:space="0"/>
              <w:bottom w:val="single" w:color="auto" w:sz="4" w:space="0"/>
              <w:right w:val="single" w:color="auto" w:sz="4" w:space="0"/>
            </w:tcBorders>
            <w:vAlign w:val="center"/>
          </w:tcPr>
          <w:p w14:paraId="539E9A2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eastAsia="仿宋_GB2312"/>
                <w:kern w:val="0"/>
                <w:szCs w:val="21"/>
              </w:rPr>
              <w:t> </w:t>
            </w:r>
            <w:r>
              <w:rPr>
                <w:rFonts w:hint="eastAsia" w:ascii="仿宋_GB2312" w:eastAsia="仿宋_GB2312"/>
                <w:kern w:val="0"/>
                <w:szCs w:val="21"/>
              </w:rPr>
              <w:t>额</w:t>
            </w:r>
          </w:p>
        </w:tc>
      </w:tr>
      <w:tr w14:paraId="73CF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57C568B7">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4B4F125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33806A7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6081AB5A">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69977E26">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33325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775E8BD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0128969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0D26220F">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AF54EF4">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7FE299C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2CB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2CACD7F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7DE5B53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3075" w:type="dxa"/>
            <w:gridSpan w:val="3"/>
            <w:tcBorders>
              <w:top w:val="single" w:color="auto" w:sz="4" w:space="0"/>
              <w:left w:val="single" w:color="auto" w:sz="4" w:space="0"/>
              <w:bottom w:val="single" w:color="auto" w:sz="4" w:space="0"/>
              <w:right w:val="single" w:color="auto" w:sz="4" w:space="0"/>
            </w:tcBorders>
            <w:vAlign w:val="center"/>
          </w:tcPr>
          <w:p w14:paraId="70659EF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0590A5E1">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1938601D">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369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85" w:type="dxa"/>
            <w:gridSpan w:val="5"/>
            <w:tcBorders>
              <w:top w:val="single" w:color="auto" w:sz="4" w:space="0"/>
              <w:left w:val="single" w:color="auto" w:sz="4" w:space="0"/>
              <w:bottom w:val="single" w:color="auto" w:sz="4" w:space="0"/>
              <w:right w:val="single" w:color="auto" w:sz="4" w:space="0"/>
            </w:tcBorders>
            <w:vAlign w:val="center"/>
          </w:tcPr>
          <w:p w14:paraId="05801160">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eastAsia="仿宋_GB2312"/>
                <w:kern w:val="0"/>
                <w:szCs w:val="21"/>
              </w:rPr>
              <w:t>  </w:t>
            </w:r>
            <w:r>
              <w:rPr>
                <w:rFonts w:hint="eastAsia" w:ascii="仿宋_GB2312" w:eastAsia="仿宋_GB2312"/>
                <w:kern w:val="0"/>
                <w:szCs w:val="21"/>
              </w:rPr>
              <w:t>计</w:t>
            </w:r>
          </w:p>
        </w:tc>
        <w:tc>
          <w:tcPr>
            <w:tcW w:w="1556" w:type="dxa"/>
            <w:tcBorders>
              <w:top w:val="single" w:color="auto" w:sz="4" w:space="0"/>
              <w:left w:val="single" w:color="auto" w:sz="4" w:space="0"/>
              <w:bottom w:val="single" w:color="auto" w:sz="4" w:space="0"/>
              <w:right w:val="single" w:color="auto" w:sz="4" w:space="0"/>
            </w:tcBorders>
            <w:vAlign w:val="center"/>
          </w:tcPr>
          <w:p w14:paraId="1D274B38">
            <w:pPr>
              <w:widowControl/>
              <w:snapToGrid w:val="0"/>
              <w:spacing w:before="100" w:beforeAutospacing="1" w:after="100" w:afterAutospacing="1" w:line="320" w:lineRule="atLeast"/>
              <w:jc w:val="center"/>
              <w:rPr>
                <w:rFonts w:ascii="仿宋_GB2312" w:eastAsia="仿宋_GB2312"/>
                <w:kern w:val="0"/>
                <w:szCs w:val="21"/>
              </w:rPr>
            </w:pPr>
          </w:p>
        </w:tc>
        <w:tc>
          <w:tcPr>
            <w:tcW w:w="1487" w:type="dxa"/>
            <w:tcBorders>
              <w:top w:val="single" w:color="auto" w:sz="4" w:space="0"/>
              <w:left w:val="single" w:color="auto" w:sz="4" w:space="0"/>
              <w:bottom w:val="single" w:color="auto" w:sz="4" w:space="0"/>
              <w:right w:val="single" w:color="auto" w:sz="4" w:space="0"/>
            </w:tcBorders>
            <w:vAlign w:val="center"/>
          </w:tcPr>
          <w:p w14:paraId="077D77CB">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79B3D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2A0AC1A6">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r>
              <w:rPr>
                <w:rFonts w:eastAsia="仿宋_GB2312"/>
                <w:kern w:val="0"/>
                <w:szCs w:val="21"/>
              </w:rPr>
              <w:t> </w:t>
            </w:r>
            <w:r>
              <w:rPr>
                <w:rFonts w:hint="eastAsia" w:ascii="仿宋_GB2312" w:eastAsia="仿宋_GB2312"/>
                <w:kern w:val="0"/>
                <w:szCs w:val="21"/>
              </w:rPr>
              <w:t xml:space="preserve"> </w:t>
            </w:r>
          </w:p>
        </w:tc>
      </w:tr>
      <w:tr w14:paraId="2DA4E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26" w:type="dxa"/>
            <w:tcBorders>
              <w:top w:val="single" w:color="auto" w:sz="4" w:space="0"/>
              <w:left w:val="single" w:color="auto" w:sz="4" w:space="0"/>
              <w:bottom w:val="single" w:color="auto" w:sz="4" w:space="0"/>
              <w:right w:val="single" w:color="auto" w:sz="4" w:space="0"/>
            </w:tcBorders>
            <w:vAlign w:val="center"/>
          </w:tcPr>
          <w:p w14:paraId="034BB86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实际供货日期</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AECF62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3FABB6EC">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合同交货验收日期</w:t>
            </w: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39953F2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2E8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tcBorders>
              <w:top w:val="single" w:color="auto" w:sz="4" w:space="0"/>
              <w:left w:val="single" w:color="auto" w:sz="4" w:space="0"/>
              <w:bottom w:val="single" w:color="auto" w:sz="4" w:space="0"/>
              <w:right w:val="single" w:color="auto" w:sz="4" w:space="0"/>
            </w:tcBorders>
            <w:vAlign w:val="center"/>
          </w:tcPr>
          <w:p w14:paraId="29E7B5C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3936211C">
            <w:pPr>
              <w:widowControl/>
              <w:snapToGrid w:val="0"/>
              <w:spacing w:before="100" w:beforeAutospacing="1" w:after="100" w:afterAutospacing="1" w:line="320" w:lineRule="atLeast"/>
              <w:ind w:firstLine="2"/>
              <w:jc w:val="left"/>
              <w:rPr>
                <w:rFonts w:ascii="仿宋_GB2312" w:eastAsia="仿宋_GB2312"/>
                <w:kern w:val="0"/>
                <w:szCs w:val="21"/>
              </w:rPr>
            </w:pPr>
          </w:p>
        </w:tc>
        <w:tc>
          <w:tcPr>
            <w:tcW w:w="2551" w:type="dxa"/>
            <w:tcBorders>
              <w:top w:val="single" w:color="auto" w:sz="4" w:space="0"/>
              <w:left w:val="single" w:color="auto" w:sz="4" w:space="0"/>
              <w:bottom w:val="single" w:color="auto" w:sz="4" w:space="0"/>
              <w:right w:val="single" w:color="auto" w:sz="4" w:space="0"/>
            </w:tcBorders>
            <w:vAlign w:val="center"/>
          </w:tcPr>
          <w:p w14:paraId="6CA10C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3141" w:type="dxa"/>
            <w:gridSpan w:val="3"/>
            <w:tcBorders>
              <w:top w:val="single" w:color="auto" w:sz="4" w:space="0"/>
              <w:left w:val="single" w:color="auto" w:sz="4" w:space="0"/>
              <w:bottom w:val="single" w:color="auto" w:sz="4" w:space="0"/>
              <w:right w:val="single" w:color="auto" w:sz="4" w:space="0"/>
            </w:tcBorders>
            <w:vAlign w:val="center"/>
          </w:tcPr>
          <w:p w14:paraId="7964E3F0">
            <w:pPr>
              <w:widowControl/>
              <w:snapToGrid w:val="0"/>
              <w:spacing w:before="100" w:beforeAutospacing="1" w:after="100" w:afterAutospacing="1" w:line="320" w:lineRule="atLeast"/>
              <w:ind w:firstLine="2"/>
              <w:jc w:val="left"/>
              <w:rPr>
                <w:rFonts w:ascii="仿宋_GB2312" w:eastAsia="仿宋_GB2312"/>
                <w:kern w:val="0"/>
                <w:szCs w:val="21"/>
              </w:rPr>
            </w:pPr>
          </w:p>
        </w:tc>
      </w:tr>
      <w:tr w14:paraId="3FA5F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26" w:type="dxa"/>
            <w:tcBorders>
              <w:top w:val="single" w:color="auto" w:sz="4" w:space="0"/>
              <w:left w:val="single" w:color="auto" w:sz="4" w:space="0"/>
              <w:bottom w:val="single" w:color="auto" w:sz="4" w:space="0"/>
              <w:right w:val="single" w:color="auto" w:sz="4" w:space="0"/>
            </w:tcBorders>
            <w:vAlign w:val="center"/>
          </w:tcPr>
          <w:p w14:paraId="6A42B9BA">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1CDC0484">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hAnsi="宋体" w:eastAsia="仿宋_GB2312" w:cs="宋体"/>
                <w:kern w:val="0"/>
                <w:szCs w:val="21"/>
              </w:rPr>
              <w:t>（应按采购合同、采购文件、投标文件及验收方案等进行验收；并核对中标供应商在安装调试等方面是否违反合同约定或服务规范要求、提供的质量保证证明材料是否齐全、应有的配件及附件是否达到合同约定等。可附件)</w:t>
            </w:r>
          </w:p>
        </w:tc>
      </w:tr>
      <w:tr w14:paraId="3A41E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526" w:type="dxa"/>
            <w:vMerge w:val="restart"/>
            <w:tcBorders>
              <w:top w:val="single" w:color="auto" w:sz="4" w:space="0"/>
              <w:left w:val="single" w:color="auto" w:sz="4" w:space="0"/>
              <w:bottom w:val="single" w:color="auto" w:sz="4" w:space="0"/>
              <w:right w:val="single" w:color="auto" w:sz="4" w:space="0"/>
            </w:tcBorders>
            <w:vAlign w:val="center"/>
          </w:tcPr>
          <w:p w14:paraId="5E01480F">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236577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29C65F47">
            <w:pPr>
              <w:widowControl/>
              <w:snapToGrid w:val="0"/>
              <w:spacing w:before="100" w:beforeAutospacing="1" w:after="100" w:afterAutospacing="1" w:line="320" w:lineRule="atLeast"/>
              <w:jc w:val="left"/>
              <w:rPr>
                <w:rFonts w:ascii="仿宋_GB2312" w:eastAsia="仿宋_GB2312"/>
                <w:kern w:val="0"/>
                <w:szCs w:val="21"/>
              </w:rPr>
            </w:pPr>
          </w:p>
        </w:tc>
      </w:tr>
      <w:tr w14:paraId="28DD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 w:type="dxa"/>
            <w:vMerge w:val="continue"/>
            <w:tcBorders>
              <w:top w:val="single" w:color="auto" w:sz="4" w:space="0"/>
              <w:left w:val="single" w:color="auto" w:sz="4" w:space="0"/>
              <w:bottom w:val="single" w:color="auto" w:sz="4" w:space="0"/>
              <w:right w:val="single" w:color="auto" w:sz="4" w:space="0"/>
            </w:tcBorders>
            <w:vAlign w:val="center"/>
          </w:tcPr>
          <w:p w14:paraId="0C7ECDCF">
            <w:pPr>
              <w:widowControl/>
              <w:jc w:val="left"/>
              <w:rPr>
                <w:rFonts w:ascii="仿宋_GB2312" w:eastAsia="仿宋_GB2312"/>
                <w:kern w:val="0"/>
                <w:szCs w:val="21"/>
              </w:rPr>
            </w:pPr>
          </w:p>
        </w:tc>
        <w:tc>
          <w:tcPr>
            <w:tcW w:w="8102" w:type="dxa"/>
            <w:gridSpan w:val="6"/>
            <w:tcBorders>
              <w:top w:val="single" w:color="auto" w:sz="4" w:space="0"/>
              <w:left w:val="single" w:color="auto" w:sz="4" w:space="0"/>
              <w:bottom w:val="single" w:color="auto" w:sz="4" w:space="0"/>
              <w:right w:val="single" w:color="auto" w:sz="4" w:space="0"/>
            </w:tcBorders>
            <w:vAlign w:val="center"/>
          </w:tcPr>
          <w:p w14:paraId="77AA3B1D">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58AABB3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 xml:space="preserve">            签字：</w:t>
            </w:r>
          </w:p>
        </w:tc>
      </w:tr>
      <w:tr w14:paraId="538D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628" w:type="dxa"/>
            <w:gridSpan w:val="7"/>
            <w:tcBorders>
              <w:top w:val="single" w:color="auto" w:sz="4" w:space="0"/>
              <w:left w:val="single" w:color="auto" w:sz="4" w:space="0"/>
              <w:bottom w:val="single" w:color="auto" w:sz="4" w:space="0"/>
              <w:right w:val="single" w:color="auto" w:sz="4" w:space="0"/>
            </w:tcBorders>
            <w:vAlign w:val="center"/>
          </w:tcPr>
          <w:p w14:paraId="5075D587">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D71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551EC6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2E6059A">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76E3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7"/>
            <w:tcBorders>
              <w:top w:val="single" w:color="auto" w:sz="4" w:space="0"/>
              <w:left w:val="single" w:color="auto" w:sz="4" w:space="0"/>
              <w:bottom w:val="single" w:color="auto" w:sz="4" w:space="0"/>
              <w:right w:val="single" w:color="auto" w:sz="4" w:space="0"/>
            </w:tcBorders>
            <w:vAlign w:val="center"/>
          </w:tcPr>
          <w:p w14:paraId="7FDEF49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中标供应商负责人签字或者盖章：               </w:t>
            </w:r>
            <w:r>
              <w:rPr>
                <w:rFonts w:eastAsia="仿宋_GB2312"/>
                <w:kern w:val="0"/>
                <w:szCs w:val="21"/>
              </w:rPr>
              <w:t> </w:t>
            </w:r>
            <w:r>
              <w:rPr>
                <w:rFonts w:hint="eastAsia" w:ascii="仿宋_GB2312" w:eastAsia="仿宋_GB2312"/>
                <w:kern w:val="0"/>
                <w:szCs w:val="21"/>
              </w:rPr>
              <w:t>采购人或受托机构的意见（盖章）：</w:t>
            </w:r>
          </w:p>
          <w:p w14:paraId="275B5BF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eastAsia="仿宋_GB2312"/>
                <w:kern w:val="0"/>
                <w:szCs w:val="21"/>
              </w:rPr>
              <w:t>  </w:t>
            </w:r>
            <w:r>
              <w:rPr>
                <w:rFonts w:hint="eastAsia" w:ascii="仿宋_GB2312" w:eastAsia="仿宋_GB2312"/>
                <w:kern w:val="0"/>
                <w:szCs w:val="21"/>
              </w:rPr>
              <w:t xml:space="preserve">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                     联系电话： </w:t>
            </w:r>
            <w:r>
              <w:rPr>
                <w:rFonts w:eastAsia="仿宋_GB2312"/>
                <w:kern w:val="0"/>
                <w:szCs w:val="21"/>
              </w:rPr>
              <w:t>       </w:t>
            </w:r>
            <w:r>
              <w:rPr>
                <w:rFonts w:hint="eastAsia" w:ascii="仿宋_GB2312" w:eastAsia="仿宋_GB2312"/>
                <w:kern w:val="0"/>
                <w:szCs w:val="21"/>
              </w:rPr>
              <w:t xml:space="preserve"> 年</w:t>
            </w:r>
            <w:r>
              <w:rPr>
                <w:rFonts w:eastAsia="仿宋_GB2312"/>
                <w:kern w:val="0"/>
                <w:szCs w:val="21"/>
              </w:rPr>
              <w:t>  </w:t>
            </w:r>
            <w:r>
              <w:rPr>
                <w:rFonts w:hint="eastAsia" w:ascii="仿宋_GB2312" w:eastAsia="仿宋_GB2312"/>
                <w:kern w:val="0"/>
                <w:szCs w:val="21"/>
              </w:rPr>
              <w:t xml:space="preserve"> 月</w:t>
            </w:r>
            <w:r>
              <w:rPr>
                <w:rFonts w:eastAsia="仿宋_GB2312"/>
                <w:kern w:val="0"/>
                <w:szCs w:val="21"/>
              </w:rPr>
              <w:t>  </w:t>
            </w:r>
            <w:r>
              <w:rPr>
                <w:rFonts w:hint="eastAsia" w:ascii="仿宋_GB2312" w:eastAsia="仿宋_GB2312"/>
                <w:kern w:val="0"/>
                <w:szCs w:val="21"/>
              </w:rPr>
              <w:t xml:space="preserve"> 日</w:t>
            </w:r>
          </w:p>
        </w:tc>
      </w:tr>
    </w:tbl>
    <w:p w14:paraId="7DA44591">
      <w:pPr>
        <w:spacing w:line="276" w:lineRule="auto"/>
        <w:jc w:val="left"/>
        <w:rPr>
          <w:rFonts w:hint="eastAsia" w:ascii="仿宋_GB2312" w:hAnsi="华文中宋" w:eastAsia="仿宋_GB2312"/>
          <w:b/>
          <w:szCs w:val="21"/>
        </w:rPr>
      </w:pPr>
      <w:r>
        <w:rPr>
          <w:rFonts w:hint="eastAsia" w:ascii="仿宋_GB2312" w:hAnsi="华文中宋" w:eastAsia="仿宋_GB2312"/>
          <w:b/>
          <w:szCs w:val="21"/>
        </w:rPr>
        <w:t>备注：本验收书一式三份（采购人一份、中标人一份、采购代理机构一份）</w:t>
      </w:r>
    </w:p>
    <w:bookmarkEnd w:id="84"/>
    <w:p w14:paraId="220DC97C">
      <w:pPr>
        <w:pStyle w:val="15"/>
        <w:rPr>
          <w:rFonts w:hint="eastAsia" w:ascii="仿宋_GB2312" w:hAnsi="华文中宋" w:eastAsia="仿宋_GB2312"/>
          <w:b/>
          <w:szCs w:val="21"/>
        </w:rPr>
      </w:pPr>
    </w:p>
    <w:p w14:paraId="05F74CA1">
      <w:pPr>
        <w:pStyle w:val="15"/>
        <w:rPr>
          <w:rFonts w:hint="eastAsia" w:ascii="仿宋_GB2312" w:hAnsi="华文中宋" w:eastAsia="仿宋_GB2312"/>
          <w:b/>
          <w:szCs w:val="21"/>
        </w:rPr>
      </w:pPr>
    </w:p>
    <w:p w14:paraId="7B4360E6">
      <w:pPr>
        <w:pStyle w:val="15"/>
        <w:rPr>
          <w:rFonts w:hint="eastAsia" w:ascii="仿宋_GB2312" w:hAnsi="华文中宋" w:eastAsia="仿宋_GB2312"/>
          <w:b/>
          <w:szCs w:val="21"/>
        </w:rPr>
      </w:pPr>
    </w:p>
    <w:p w14:paraId="62E96265">
      <w:pPr>
        <w:rPr>
          <w:rFonts w:hint="eastAsia" w:ascii="仿宋_GB2312" w:hAnsi="华文中宋" w:eastAsia="仿宋_GB2312"/>
          <w:b/>
          <w:szCs w:val="21"/>
        </w:rPr>
      </w:pPr>
      <w:r>
        <w:rPr>
          <w:rFonts w:hint="eastAsia" w:ascii="仿宋_GB2312" w:hAnsi="华文中宋" w:eastAsia="仿宋_GB2312"/>
          <w:b/>
          <w:szCs w:val="21"/>
        </w:rPr>
        <w:br w:type="page"/>
      </w:r>
    </w:p>
    <w:p w14:paraId="2E70ACDC">
      <w:pPr>
        <w:pStyle w:val="2"/>
        <w:numPr>
          <w:ilvl w:val="0"/>
          <w:numId w:val="4"/>
        </w:numPr>
        <w:spacing w:line="240" w:lineRule="auto"/>
        <w:jc w:val="center"/>
        <w:rPr>
          <w:sz w:val="32"/>
        </w:rPr>
      </w:pPr>
      <w:bookmarkStart w:id="85" w:name="_Toc14762"/>
      <w:bookmarkStart w:id="86" w:name="_Toc517113880"/>
      <w:bookmarkStart w:id="87" w:name="_Toc504053343"/>
      <w:bookmarkStart w:id="88" w:name="_Toc504231525"/>
      <w:bookmarkStart w:id="89" w:name="_Toc4746"/>
      <w:bookmarkStart w:id="90" w:name="_Toc24537"/>
      <w:bookmarkStart w:id="91" w:name="_Toc82792182"/>
      <w:bookmarkStart w:id="92" w:name="_Toc8141"/>
      <w:bookmarkStart w:id="93" w:name="_Toc27001"/>
      <w:bookmarkStart w:id="94" w:name="_Toc3440"/>
      <w:r>
        <w:rPr>
          <w:rFonts w:hint="eastAsia"/>
          <w:sz w:val="32"/>
        </w:rPr>
        <w:t xml:space="preserve">  投标文件格式</w:t>
      </w:r>
      <w:bookmarkEnd w:id="85"/>
      <w:bookmarkEnd w:id="86"/>
      <w:bookmarkEnd w:id="87"/>
      <w:bookmarkEnd w:id="88"/>
      <w:bookmarkEnd w:id="89"/>
      <w:bookmarkEnd w:id="90"/>
      <w:bookmarkEnd w:id="91"/>
      <w:bookmarkEnd w:id="92"/>
      <w:bookmarkEnd w:id="93"/>
      <w:bookmarkEnd w:id="94"/>
    </w:p>
    <w:p w14:paraId="33A44A8A">
      <w:pPr>
        <w:jc w:val="center"/>
        <w:rPr>
          <w:b/>
          <w:bCs/>
          <w:sz w:val="28"/>
          <w:szCs w:val="36"/>
        </w:rPr>
      </w:pPr>
      <w:r>
        <w:rPr>
          <w:rFonts w:hint="eastAsia"/>
          <w:b/>
          <w:bCs/>
          <w:sz w:val="28"/>
          <w:szCs w:val="36"/>
        </w:rPr>
        <w:t>投标人提交电子投标文件须知</w:t>
      </w:r>
    </w:p>
    <w:p w14:paraId="40CC6913">
      <w:pPr>
        <w:adjustRightInd w:val="0"/>
        <w:snapToGrid w:val="0"/>
        <w:spacing w:line="460" w:lineRule="exact"/>
        <w:jc w:val="left"/>
        <w:rPr>
          <w:rFonts w:hint="eastAsia" w:ascii="宋体" w:hAnsi="宋体" w:cs="宋体"/>
          <w:bCs/>
          <w:sz w:val="24"/>
        </w:rPr>
      </w:pPr>
    </w:p>
    <w:p w14:paraId="7CE7C8AD">
      <w:pPr>
        <w:adjustRightInd w:val="0"/>
        <w:snapToGrid w:val="0"/>
        <w:spacing w:line="420" w:lineRule="exact"/>
        <w:ind w:firstLine="480"/>
        <w:jc w:val="left"/>
        <w:rPr>
          <w:rFonts w:hint="eastAsia" w:ascii="宋体" w:hAnsi="宋体" w:cs="宋体"/>
          <w:b/>
          <w:sz w:val="24"/>
        </w:rPr>
      </w:pPr>
      <w:r>
        <w:rPr>
          <w:rFonts w:hint="eastAsia" w:ascii="宋体" w:hAnsi="宋体" w:cs="宋体"/>
          <w:b/>
          <w:sz w:val="24"/>
        </w:rPr>
        <w:t>参与电子标的投标人必须为广西政府采购云平台的正式供应商且申领CA证书，各供应商应在开标前及时完成平台注册、CA证书申领、CA证书绑定、下载投标客户端，熟悉并掌握广西政府采购云电子标系统操作。</w:t>
      </w:r>
    </w:p>
    <w:p w14:paraId="630A9FB0">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一、投标人应保证全部声明和问题的回答是真实的和准确的。</w:t>
      </w:r>
    </w:p>
    <w:p w14:paraId="299D131B">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二、评标委员会将应用投标人递交的资料作出自己的判断。</w:t>
      </w:r>
    </w:p>
    <w:p w14:paraId="09F2C96E">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三、投标人递交的材料将在一定期限内被保密保存，不予退还。</w:t>
      </w:r>
    </w:p>
    <w:p w14:paraId="4226338A">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四、电子投标文件编制格式及规范要求：</w:t>
      </w:r>
    </w:p>
    <w:p w14:paraId="4E93FFE9">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（一）投标文件应使用广西政府采购云电子投标客户端软件，并按照本公开招标文件和广西政府采购云平台要求编制并加密投标文件。未按规定加密的投标文件，广西政府采购云平台将拒收。</w:t>
      </w:r>
    </w:p>
    <w:p w14:paraId="1ECD7220">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（二）投标文件制作并加密完成后应在广西政府采购云平台上传完成。</w:t>
      </w:r>
    </w:p>
    <w:p w14:paraId="4A9FFF5B">
      <w:pPr>
        <w:adjustRightInd w:val="0"/>
        <w:snapToGrid w:val="0"/>
        <w:spacing w:line="420" w:lineRule="exact"/>
        <w:ind w:firstLine="482" w:firstLineChars="200"/>
        <w:jc w:val="left"/>
        <w:rPr>
          <w:rFonts w:hint="eastAsia" w:ascii="宋体" w:hAnsi="宋体" w:cs="宋体"/>
          <w:b/>
          <w:bCs/>
          <w:sz w:val="24"/>
        </w:rPr>
      </w:pPr>
      <w:r>
        <w:rPr>
          <w:rFonts w:hint="eastAsia" w:ascii="宋体" w:hAnsi="宋体" w:cs="宋体"/>
          <w:b/>
          <w:bCs/>
          <w:sz w:val="24"/>
        </w:rPr>
        <w:t>（三）投标文件应使用CA证书进行电子签章。在签章时，投标人应注意CA电子签章的位置，如因CA电子签章遮挡重要、关键信息导致评标委员会作出对投标人不利评审的，后果由投标人负责。</w:t>
      </w:r>
    </w:p>
    <w:p w14:paraId="771415B4">
      <w:pPr>
        <w:adjustRightInd w:val="0"/>
        <w:snapToGrid w:val="0"/>
        <w:spacing w:line="420" w:lineRule="exact"/>
        <w:ind w:firstLine="482" w:firstLineChars="200"/>
        <w:jc w:val="left"/>
        <w:rPr>
          <w:rFonts w:hint="eastAsia" w:ascii="宋体" w:hAnsi="宋体" w:cs="宋体"/>
          <w:b/>
          <w:bCs/>
          <w:sz w:val="24"/>
        </w:rPr>
      </w:pPr>
      <w:r>
        <w:rPr>
          <w:rFonts w:hint="eastAsia" w:ascii="宋体" w:hAnsi="宋体" w:cs="宋体"/>
          <w:b/>
          <w:bCs/>
          <w:sz w:val="24"/>
        </w:rPr>
        <w:t>（四）投标人应准确设置评审关联点。未设置或设置错误导致投标文件被误读、漏读或者查找不到相关内容的，是投标人的责任。</w:t>
      </w:r>
    </w:p>
    <w:p w14:paraId="58919DD0">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（五）投标文件所提供的相关材料的尺寸和清晰度应该能够在电脑上被阅读、识别和判断。</w:t>
      </w:r>
    </w:p>
    <w:p w14:paraId="6560257A">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（六）投标文件内容无法阅读、识别和判断的，视为未提供。</w:t>
      </w:r>
    </w:p>
    <w:p w14:paraId="348AAF42">
      <w:pPr>
        <w:adjustRightInd w:val="0"/>
        <w:snapToGrid w:val="0"/>
        <w:spacing w:line="420" w:lineRule="exact"/>
        <w:ind w:firstLine="480" w:firstLineChars="200"/>
        <w:jc w:val="left"/>
        <w:rPr>
          <w:rFonts w:hint="eastAsia" w:ascii="宋体" w:hAnsi="宋体" w:cs="宋体"/>
          <w:bCs/>
          <w:sz w:val="24"/>
        </w:rPr>
      </w:pPr>
      <w:r>
        <w:rPr>
          <w:rFonts w:hint="eastAsia" w:ascii="宋体" w:hAnsi="宋体" w:cs="宋体"/>
          <w:bCs/>
          <w:sz w:val="24"/>
        </w:rPr>
        <w:t>（七）投标文件的容量大小须符合广西政府采购云平台规定。</w:t>
      </w:r>
    </w:p>
    <w:p w14:paraId="47724D12">
      <w:pPr>
        <w:adjustRightInd w:val="0"/>
        <w:snapToGrid w:val="0"/>
        <w:spacing w:line="420" w:lineRule="exact"/>
        <w:ind w:firstLine="482" w:firstLineChars="200"/>
        <w:jc w:val="left"/>
        <w:rPr>
          <w:rFonts w:hint="eastAsia" w:ascii="宋体" w:hAnsi="宋体" w:cs="宋体"/>
          <w:b/>
          <w:sz w:val="24"/>
        </w:rPr>
      </w:pPr>
      <w:r>
        <w:rPr>
          <w:rFonts w:hint="eastAsia" w:ascii="宋体" w:hAnsi="宋体" w:cs="宋体"/>
          <w:b/>
          <w:sz w:val="24"/>
        </w:rPr>
        <w:t>五、投标人在使用广西政府采购云平台进行投标过程中遇到涉及平台使用的任何问题，可致电平台技术支持热线咨询，联系方式：95763。</w:t>
      </w:r>
    </w:p>
    <w:p w14:paraId="07037A11">
      <w:pPr>
        <w:snapToGrid w:val="0"/>
        <w:spacing w:line="420" w:lineRule="exact"/>
        <w:ind w:firstLine="482" w:firstLineChars="200"/>
        <w:jc w:val="left"/>
        <w:rPr>
          <w:rFonts w:hint="eastAsia" w:ascii="宋体" w:hAnsi="宋体" w:cs="宋体"/>
          <w:b/>
          <w:bCs/>
          <w:sz w:val="24"/>
        </w:rPr>
      </w:pPr>
      <w:r>
        <w:rPr>
          <w:rFonts w:hint="eastAsia" w:ascii="宋体" w:hAnsi="宋体" w:cs="宋体"/>
          <w:b/>
          <w:bCs/>
          <w:sz w:val="24"/>
        </w:rPr>
        <w:t>六、特别说明</w:t>
      </w:r>
    </w:p>
    <w:p w14:paraId="2B6E9F71">
      <w:pPr>
        <w:adjustRightInd w:val="0"/>
        <w:snapToGrid w:val="0"/>
        <w:spacing w:line="420" w:lineRule="exact"/>
        <w:ind w:firstLine="482" w:firstLineChars="200"/>
        <w:jc w:val="left"/>
        <w:rPr>
          <w:rFonts w:hint="eastAsia" w:ascii="宋体" w:hAnsi="宋体" w:cs="宋体"/>
          <w:b/>
          <w:sz w:val="24"/>
        </w:rPr>
      </w:pPr>
      <w:r>
        <w:rPr>
          <w:rFonts w:hint="eastAsia" w:ascii="宋体" w:hAnsi="宋体" w:cs="宋体"/>
          <w:b/>
          <w:sz w:val="24"/>
        </w:rPr>
        <w:t>（一）投标文件中须加盖公章部分均采用投标人CA电子签章，否则视为投标无效。</w:t>
      </w:r>
    </w:p>
    <w:p w14:paraId="4DE76D8B">
      <w:pPr>
        <w:adjustRightInd w:val="0"/>
        <w:snapToGrid w:val="0"/>
        <w:spacing w:line="420" w:lineRule="exact"/>
        <w:ind w:firstLine="482" w:firstLineChars="200"/>
        <w:jc w:val="left"/>
        <w:rPr>
          <w:rFonts w:hint="eastAsia" w:ascii="宋体" w:hAnsi="宋体" w:cs="宋体"/>
          <w:b/>
          <w:sz w:val="24"/>
        </w:rPr>
      </w:pPr>
      <w:r>
        <w:rPr>
          <w:rFonts w:hint="eastAsia" w:ascii="宋体" w:hAnsi="宋体" w:cs="宋体"/>
          <w:b/>
          <w:sz w:val="24"/>
        </w:rPr>
        <w:t>（二）</w:t>
      </w:r>
      <w:r>
        <w:rPr>
          <w:rFonts w:hint="eastAsia" w:ascii="宋体" w:hAnsi="宋体" w:cs="宋体"/>
          <w:b/>
          <w:bCs/>
          <w:sz w:val="24"/>
        </w:rPr>
        <w:t>公开招标文件中规定须由法定代表人或授权委托代理人签字的内容，如果投标人没有法定代表人或授权委托代理人电子签章，涉及到法定代表人或其授权委托代理人签字或盖章的内容，投标人可以线下签字或盖章后扫描上传，</w:t>
      </w:r>
      <w:r>
        <w:rPr>
          <w:rFonts w:hint="eastAsia" w:ascii="宋体" w:hAnsi="宋体" w:cs="宋体"/>
          <w:b/>
          <w:sz w:val="24"/>
        </w:rPr>
        <w:t>否则视为投标无效。</w:t>
      </w:r>
    </w:p>
    <w:p w14:paraId="42624FE1">
      <w:pPr>
        <w:adjustRightInd w:val="0"/>
        <w:snapToGrid w:val="0"/>
        <w:spacing w:line="460" w:lineRule="exact"/>
        <w:jc w:val="left"/>
        <w:rPr>
          <w:rFonts w:hint="eastAsia" w:ascii="宋体" w:hAnsi="宋体" w:cs="宋体"/>
          <w:b/>
          <w:sz w:val="44"/>
          <w:szCs w:val="44"/>
        </w:rPr>
      </w:pPr>
    </w:p>
    <w:p w14:paraId="509F312C">
      <w:pPr>
        <w:jc w:val="center"/>
        <w:rPr>
          <w:rFonts w:hint="eastAsia" w:ascii="宋体" w:hAnsi="宋体" w:cs="宋体"/>
          <w:b/>
          <w:sz w:val="44"/>
          <w:szCs w:val="44"/>
        </w:rPr>
      </w:pPr>
    </w:p>
    <w:p w14:paraId="062E34F0">
      <w:pPr>
        <w:jc w:val="center"/>
        <w:rPr>
          <w:rFonts w:hint="eastAsia" w:ascii="宋体" w:hAnsi="宋体" w:cs="宋体"/>
          <w:b/>
          <w:sz w:val="44"/>
          <w:szCs w:val="44"/>
        </w:rPr>
      </w:pPr>
      <w:r>
        <w:rPr>
          <w:rFonts w:hint="eastAsia" w:ascii="宋体" w:hAnsi="宋体" w:cs="宋体"/>
          <w:b/>
          <w:bCs/>
          <w:sz w:val="56"/>
          <w:szCs w:val="56"/>
        </w:rPr>
        <w:t>一、资格文件格式</w:t>
      </w:r>
    </w:p>
    <w:p w14:paraId="35B18765">
      <w:pPr>
        <w:snapToGrid w:val="0"/>
        <w:spacing w:before="50" w:after="120" w:afterLines="50" w:line="360" w:lineRule="exact"/>
        <w:jc w:val="left"/>
        <w:rPr>
          <w:rFonts w:hint="eastAsia" w:ascii="宋体" w:hAnsi="宋体" w:cs="宋体"/>
          <w:b/>
          <w:sz w:val="44"/>
          <w:szCs w:val="44"/>
        </w:rPr>
      </w:pPr>
    </w:p>
    <w:p w14:paraId="76A40DF9">
      <w:pPr>
        <w:snapToGrid w:val="0"/>
        <w:spacing w:before="50" w:after="50" w:line="400" w:lineRule="exact"/>
        <w:rPr>
          <w:rFonts w:hint="eastAsia" w:ascii="宋体" w:hAnsi="宋体" w:cs="宋体"/>
          <w:sz w:val="36"/>
          <w:szCs w:val="36"/>
        </w:rPr>
      </w:pPr>
      <w:r>
        <w:rPr>
          <w:rFonts w:hint="eastAsia" w:ascii="宋体" w:hAnsi="宋体" w:cs="宋体"/>
          <w:b/>
          <w:bCs/>
          <w:sz w:val="24"/>
        </w:rPr>
        <w:t>资格文件目录：</w:t>
      </w:r>
    </w:p>
    <w:p w14:paraId="0EB8F2F6">
      <w:pPr>
        <w:tabs>
          <w:tab w:val="left" w:pos="3870"/>
          <w:tab w:val="left" w:pos="4085"/>
        </w:tabs>
        <w:snapToGrid w:val="0"/>
        <w:jc w:val="center"/>
        <w:rPr>
          <w:rFonts w:hint="eastAsia" w:ascii="宋体" w:hAnsi="宋体" w:cs="宋体"/>
          <w:sz w:val="44"/>
          <w:szCs w:val="44"/>
        </w:rPr>
      </w:pPr>
      <w:r>
        <w:rPr>
          <w:rFonts w:hint="eastAsia" w:ascii="宋体" w:hAnsi="宋体" w:cs="宋体"/>
          <w:sz w:val="44"/>
          <w:szCs w:val="44"/>
        </w:rPr>
        <w:t>目    录</w:t>
      </w:r>
    </w:p>
    <w:p w14:paraId="684D7140">
      <w:pPr>
        <w:jc w:val="left"/>
        <w:rPr>
          <w:rFonts w:hint="eastAsia" w:ascii="宋体" w:hAnsi="宋体" w:cs="宋体"/>
          <w:sz w:val="44"/>
          <w:szCs w:val="44"/>
        </w:rPr>
      </w:pPr>
    </w:p>
    <w:p w14:paraId="7DFE92B1">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（1）法定代表人身份证明书（</w:t>
      </w:r>
      <w:r>
        <w:rPr>
          <w:rFonts w:hint="eastAsia" w:ascii="宋体" w:hAnsi="宋体" w:cs="宋体"/>
          <w:b/>
          <w:bCs/>
          <w:szCs w:val="21"/>
        </w:rPr>
        <w:t>必须提供</w:t>
      </w:r>
      <w:r>
        <w:rPr>
          <w:rFonts w:hint="eastAsia" w:ascii="宋体" w:hAnsi="宋体" w:cs="宋体"/>
          <w:szCs w:val="21"/>
        </w:rPr>
        <w:t>，格式见第六章）；</w:t>
      </w:r>
    </w:p>
    <w:p w14:paraId="2A4E8677">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（2）法定代表人授权委托书（</w:t>
      </w:r>
      <w:r>
        <w:rPr>
          <w:rFonts w:hint="eastAsia" w:ascii="宋体" w:hAnsi="宋体" w:cs="宋体"/>
          <w:b/>
          <w:bCs/>
          <w:szCs w:val="21"/>
        </w:rPr>
        <w:t>委托代理时必须提供，</w:t>
      </w:r>
      <w:r>
        <w:rPr>
          <w:rFonts w:hint="eastAsia" w:ascii="宋体" w:hAnsi="宋体" w:cs="宋体"/>
          <w:szCs w:val="21"/>
        </w:rPr>
        <w:t xml:space="preserve">格式见第六章）； </w:t>
      </w:r>
    </w:p>
    <w:p w14:paraId="218947F1">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人2022年度或2023年度财务状况报告（表）复印件或银行出具的资信证明复印件，对于从取得营业执照时间起到响应文件递交截止时间为止不足1年的供应商，只需提交响应文件递交截止时间前一个月的财务状况报告（表）复印件（</w:t>
      </w:r>
      <w:r>
        <w:rPr>
          <w:rFonts w:hint="eastAsia" w:ascii="宋体" w:hAnsi="宋体" w:cs="宋体"/>
          <w:b/>
          <w:bCs/>
          <w:szCs w:val="21"/>
        </w:rPr>
        <w:t>必须提供</w:t>
      </w:r>
      <w:r>
        <w:rPr>
          <w:rFonts w:hint="eastAsia" w:ascii="宋体" w:hAnsi="宋体" w:cs="宋体"/>
          <w:szCs w:val="21"/>
        </w:rPr>
        <w:t>）；</w:t>
      </w:r>
    </w:p>
    <w:p w14:paraId="2A99B1AF">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（4）投标截止时间前8个月内，供应商任意1个月依法缴纳税费证明复印件，依法免税的供应商，须提供相应文件证明其依法免税（</w:t>
      </w:r>
      <w:r>
        <w:rPr>
          <w:rFonts w:hint="eastAsia" w:ascii="宋体" w:hAnsi="宋体" w:cs="宋体"/>
          <w:b/>
          <w:bCs/>
          <w:szCs w:val="21"/>
        </w:rPr>
        <w:t>必须提供</w:t>
      </w:r>
      <w:r>
        <w:rPr>
          <w:rFonts w:hint="eastAsia" w:ascii="宋体" w:hAnsi="宋体" w:cs="宋体"/>
          <w:szCs w:val="21"/>
        </w:rPr>
        <w:t>）；。</w:t>
      </w:r>
    </w:p>
    <w:p w14:paraId="654244D6">
      <w:pPr>
        <w:tabs>
          <w:tab w:val="left" w:pos="3870"/>
          <w:tab w:val="left" w:pos="4085"/>
        </w:tabs>
        <w:snapToGrid w:val="0"/>
        <w:spacing w:line="400" w:lineRule="exact"/>
        <w:ind w:firstLine="420" w:firstLineChars="200"/>
        <w:jc w:val="left"/>
        <w:rPr>
          <w:szCs w:val="21"/>
        </w:rPr>
      </w:pPr>
      <w:r>
        <w:rPr>
          <w:rFonts w:hint="eastAsia"/>
          <w:szCs w:val="21"/>
        </w:rPr>
        <w:t>（5）投标截止时间前8个月内</w:t>
      </w:r>
      <w:r>
        <w:rPr>
          <w:szCs w:val="21"/>
        </w:rPr>
        <w:t>，</w:t>
      </w:r>
      <w:r>
        <w:rPr>
          <w:rFonts w:hint="eastAsia"/>
        </w:rPr>
        <w:t>供应商</w:t>
      </w:r>
      <w:r>
        <w:t>任意</w:t>
      </w:r>
      <w:r>
        <w:rPr>
          <w:rFonts w:hint="eastAsia"/>
        </w:rPr>
        <w:t>1个月</w:t>
      </w:r>
      <w:r>
        <w:rPr>
          <w:szCs w:val="21"/>
        </w:rPr>
        <w:t>的社保缴费证明记录复印件</w:t>
      </w:r>
      <w:r>
        <w:rPr>
          <w:rFonts w:hint="eastAsia"/>
          <w:szCs w:val="21"/>
        </w:rPr>
        <w:t>，</w:t>
      </w:r>
      <w:r>
        <w:rPr>
          <w:szCs w:val="21"/>
        </w:rPr>
        <w:t>依法不需要缴纳社会保障资金的供应商，须提供相应文件证明其不需要缴纳社会保障资金。</w:t>
      </w:r>
      <w:r>
        <w:rPr>
          <w:rFonts w:hint="eastAsia" w:ascii="宋体" w:hAnsi="宋体" w:cs="宋体"/>
          <w:szCs w:val="21"/>
        </w:rPr>
        <w:t>（</w:t>
      </w:r>
      <w:r>
        <w:rPr>
          <w:rFonts w:hint="eastAsia" w:ascii="宋体" w:hAnsi="宋体" w:cs="宋体"/>
          <w:b/>
          <w:bCs/>
          <w:szCs w:val="21"/>
        </w:rPr>
        <w:t>必须提供</w:t>
      </w:r>
      <w:r>
        <w:rPr>
          <w:rFonts w:hint="eastAsia" w:ascii="宋体" w:hAnsi="宋体" w:cs="宋体"/>
          <w:szCs w:val="21"/>
        </w:rPr>
        <w:t>）；</w:t>
      </w:r>
    </w:p>
    <w:p w14:paraId="3A57C3C6">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（6）投标人有效主体资格证明（如营业执照、事业单位法人证书、执业许可证、自然人身份证等）（</w:t>
      </w:r>
      <w:r>
        <w:rPr>
          <w:rFonts w:hint="eastAsia" w:ascii="宋体" w:hAnsi="宋体" w:cs="宋体"/>
          <w:b/>
          <w:bCs/>
          <w:szCs w:val="21"/>
        </w:rPr>
        <w:t>必须提供</w:t>
      </w:r>
      <w:r>
        <w:rPr>
          <w:rFonts w:hint="eastAsia" w:ascii="宋体" w:hAnsi="宋体" w:cs="宋体"/>
          <w:szCs w:val="21"/>
        </w:rPr>
        <w:t>）；</w:t>
      </w:r>
    </w:p>
    <w:p w14:paraId="53FE4A56">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（7）</w:t>
      </w:r>
      <w:r>
        <w:rPr>
          <w:rFonts w:ascii="宋体" w:hAnsi="宋体" w:cs="宋体"/>
          <w:szCs w:val="21"/>
        </w:rPr>
        <w:t>供应商直接控股、管理关系信息表</w:t>
      </w:r>
      <w:r>
        <w:rPr>
          <w:rFonts w:hint="eastAsia" w:ascii="宋体" w:hAnsi="宋体" w:cs="宋体"/>
          <w:b/>
          <w:bCs/>
          <w:szCs w:val="21"/>
        </w:rPr>
        <w:t>（必须提供）</w:t>
      </w:r>
    </w:p>
    <w:p w14:paraId="5D76A30D">
      <w:pPr>
        <w:tabs>
          <w:tab w:val="left" w:pos="3870"/>
          <w:tab w:val="left" w:pos="4085"/>
        </w:tabs>
        <w:snapToGrid w:val="0"/>
        <w:spacing w:line="420" w:lineRule="exact"/>
        <w:ind w:firstLine="420" w:firstLineChars="200"/>
        <w:jc w:val="left"/>
        <w:rPr>
          <w:rFonts w:hint="eastAsia" w:ascii="宋体" w:hAnsi="宋体" w:cs="宋体"/>
          <w:b/>
          <w:bCs/>
          <w:szCs w:val="21"/>
        </w:rPr>
      </w:pPr>
      <w:r>
        <w:rPr>
          <w:rFonts w:hint="eastAsia" w:ascii="宋体" w:hAnsi="宋体" w:cs="宋体"/>
          <w:szCs w:val="21"/>
        </w:rPr>
        <w:t>（8）</w:t>
      </w:r>
      <w:r>
        <w:rPr>
          <w:rFonts w:hint="eastAsia" w:ascii="Arial" w:hAnsi="Arial" w:cs="Arial"/>
          <w:szCs w:val="21"/>
        </w:rPr>
        <w:t>投标人</w:t>
      </w:r>
      <w:r>
        <w:rPr>
          <w:rFonts w:ascii="Arial" w:hAnsi="Arial" w:cs="Arial"/>
          <w:szCs w:val="21"/>
        </w:rPr>
        <w:t>按以下要求提供有效的医疗器械生产或经营相关证明复印件：具有有效的医疗器械生产许可证或经营许可证或者备案（按《医疗器械监督管理条例》免于经营备案和无需办理医疗器械经营许可或者备案的情形除外），国家强制要求必须进行医疗器械注册的医疗器械注册证或注册登记表。</w:t>
      </w:r>
      <w:r>
        <w:rPr>
          <w:rFonts w:hint="eastAsia" w:ascii="宋体" w:hAnsi="宋体" w:cs="宋体"/>
          <w:b/>
          <w:bCs/>
          <w:szCs w:val="21"/>
        </w:rPr>
        <w:t>（必须提供）</w:t>
      </w:r>
    </w:p>
    <w:p w14:paraId="2B5A1373">
      <w:pPr>
        <w:tabs>
          <w:tab w:val="left" w:pos="3870"/>
          <w:tab w:val="left" w:pos="4085"/>
        </w:tabs>
        <w:snapToGrid w:val="0"/>
        <w:spacing w:line="420" w:lineRule="exact"/>
        <w:ind w:firstLine="422" w:firstLineChars="200"/>
        <w:jc w:val="left"/>
        <w:rPr>
          <w:rFonts w:ascii="Arial" w:hAnsi="Arial" w:cs="Arial"/>
          <w:b/>
          <w:bCs/>
          <w:szCs w:val="21"/>
        </w:rPr>
      </w:pPr>
      <w:r>
        <w:rPr>
          <w:rFonts w:hint="eastAsia" w:ascii="Arial" w:hAnsi="Arial" w:cs="Arial"/>
          <w:b/>
          <w:bCs/>
          <w:szCs w:val="21"/>
        </w:rPr>
        <w:t>（9）本项目供应商要求为小微企业，必须提供以下证明材料之一：</w:t>
      </w:r>
    </w:p>
    <w:p w14:paraId="39A8E191">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①中小企业声明函；</w:t>
      </w:r>
    </w:p>
    <w:p w14:paraId="1EE259C2">
      <w:pPr>
        <w:tabs>
          <w:tab w:val="left" w:pos="3870"/>
          <w:tab w:val="left" w:pos="4085"/>
        </w:tabs>
        <w:snapToGrid w:val="0"/>
        <w:spacing w:line="420" w:lineRule="exact"/>
        <w:ind w:firstLine="420" w:firstLineChars="200"/>
        <w:jc w:val="left"/>
        <w:rPr>
          <w:rFonts w:hint="eastAsia" w:ascii="仿宋" w:hAnsi="仿宋" w:eastAsia="仿宋" w:cs="仿宋"/>
          <w:szCs w:val="21"/>
        </w:rPr>
      </w:pPr>
      <w:r>
        <w:rPr>
          <w:rFonts w:hint="eastAsia" w:ascii="Arial" w:hAnsi="Arial" w:cs="Arial"/>
          <w:szCs w:val="21"/>
        </w:rPr>
        <w:t>②残疾人福利性单位声明函；</w:t>
      </w:r>
    </w:p>
    <w:p w14:paraId="6C9A3866">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③监狱企业由省级以上监狱管理局、戒毒管理局（含新疆生产建设兵团）出具的属于监狱企业的证明文件（货物由监狱企业承接的必须提供）</w:t>
      </w:r>
    </w:p>
    <w:p w14:paraId="7372817C">
      <w:pPr>
        <w:tabs>
          <w:tab w:val="left" w:pos="3870"/>
          <w:tab w:val="left" w:pos="4085"/>
        </w:tabs>
        <w:snapToGrid w:val="0"/>
        <w:spacing w:line="420" w:lineRule="exact"/>
        <w:ind w:firstLine="420" w:firstLineChars="200"/>
        <w:jc w:val="left"/>
        <w:rPr>
          <w:rFonts w:hint="eastAsia" w:ascii="宋体" w:hAnsi="宋体" w:cs="宋体"/>
          <w:b/>
          <w:bCs/>
          <w:szCs w:val="21"/>
        </w:rPr>
      </w:pPr>
      <w:r>
        <w:rPr>
          <w:rFonts w:hint="eastAsia" w:ascii="宋体" w:hAnsi="宋体" w:cs="宋体"/>
          <w:szCs w:val="21"/>
        </w:rPr>
        <w:t>（10）投标保证金缴纳凭证复印件</w:t>
      </w:r>
      <w:r>
        <w:rPr>
          <w:rFonts w:hint="eastAsia" w:ascii="宋体" w:hAnsi="宋体" w:cs="宋体"/>
          <w:b/>
          <w:bCs/>
          <w:szCs w:val="21"/>
        </w:rPr>
        <w:t>（必须提供）</w:t>
      </w:r>
    </w:p>
    <w:p w14:paraId="0ADE6990">
      <w:pPr>
        <w:tabs>
          <w:tab w:val="left" w:pos="3870"/>
          <w:tab w:val="left" w:pos="4085"/>
        </w:tabs>
        <w:snapToGrid w:val="0"/>
        <w:spacing w:line="420" w:lineRule="exact"/>
        <w:ind w:firstLine="420" w:firstLineChars="200"/>
        <w:jc w:val="left"/>
        <w:rPr>
          <w:rFonts w:ascii="Arial" w:hAnsi="Arial" w:cs="Arial"/>
          <w:szCs w:val="21"/>
        </w:rPr>
      </w:pPr>
    </w:p>
    <w:p w14:paraId="11846200">
      <w:pPr>
        <w:snapToGrid w:val="0"/>
        <w:spacing w:before="50" w:after="120" w:afterLines="50" w:line="360" w:lineRule="exact"/>
        <w:jc w:val="left"/>
        <w:rPr>
          <w:rFonts w:hint="eastAsia" w:ascii="宋体" w:hAnsi="宋体" w:cs="宋体"/>
          <w:b/>
          <w:sz w:val="44"/>
          <w:szCs w:val="44"/>
        </w:rPr>
      </w:pPr>
    </w:p>
    <w:p w14:paraId="1EB065AE">
      <w:pPr>
        <w:snapToGrid w:val="0"/>
        <w:spacing w:before="50" w:after="120" w:afterLines="50" w:line="360" w:lineRule="exact"/>
        <w:jc w:val="left"/>
        <w:rPr>
          <w:rFonts w:hint="eastAsia" w:ascii="宋体" w:hAnsi="宋体" w:cs="宋体"/>
          <w:b/>
          <w:szCs w:val="21"/>
        </w:rPr>
      </w:pPr>
      <w:r>
        <w:rPr>
          <w:rFonts w:hint="eastAsia" w:ascii="宋体" w:hAnsi="宋体" w:cs="宋体"/>
          <w:b/>
          <w:sz w:val="44"/>
          <w:szCs w:val="44"/>
        </w:rPr>
        <w:br w:type="page"/>
      </w:r>
      <w:r>
        <w:rPr>
          <w:rFonts w:hint="eastAsia" w:ascii="宋体" w:hAnsi="宋体" w:cs="宋体"/>
          <w:b/>
          <w:sz w:val="24"/>
        </w:rPr>
        <w:t>（1）法定代表人身份证明书格式（必须提供）：</w:t>
      </w:r>
    </w:p>
    <w:p w14:paraId="70398938">
      <w:pPr>
        <w:pStyle w:val="11"/>
        <w:spacing w:line="360" w:lineRule="exact"/>
        <w:ind w:left="-10" w:firstLine="10" w:firstLineChars="3"/>
        <w:jc w:val="center"/>
        <w:rPr>
          <w:rFonts w:hint="eastAsia" w:hAnsi="宋体" w:cs="宋体"/>
          <w:b/>
          <w:sz w:val="32"/>
        </w:rPr>
      </w:pPr>
    </w:p>
    <w:p w14:paraId="6A520E58">
      <w:pPr>
        <w:pStyle w:val="11"/>
        <w:spacing w:line="360" w:lineRule="exact"/>
        <w:ind w:left="-10" w:firstLine="10" w:firstLineChars="3"/>
        <w:jc w:val="center"/>
        <w:rPr>
          <w:rFonts w:hint="eastAsia" w:hAnsi="宋体" w:cs="宋体"/>
          <w:b/>
          <w:sz w:val="32"/>
        </w:rPr>
      </w:pPr>
      <w:r>
        <w:rPr>
          <w:rFonts w:hint="eastAsia" w:hAnsi="宋体" w:cs="宋体"/>
          <w:b/>
          <w:sz w:val="32"/>
        </w:rPr>
        <w:t>法定代表人身份证明书</w:t>
      </w:r>
    </w:p>
    <w:p w14:paraId="68FD4079">
      <w:pPr>
        <w:pStyle w:val="11"/>
        <w:spacing w:line="360" w:lineRule="exact"/>
        <w:ind w:left="-10" w:firstLine="13" w:firstLineChars="3"/>
        <w:jc w:val="center"/>
        <w:rPr>
          <w:rFonts w:hint="eastAsia" w:hAnsi="宋体" w:cs="宋体"/>
          <w:b/>
          <w:sz w:val="44"/>
        </w:rPr>
      </w:pPr>
    </w:p>
    <w:p w14:paraId="569F617C">
      <w:pPr>
        <w:pStyle w:val="11"/>
        <w:spacing w:line="360" w:lineRule="exact"/>
        <w:ind w:firstLine="277"/>
        <w:rPr>
          <w:rFonts w:hint="eastAsia" w:hAnsi="宋体" w:cs="宋体"/>
          <w:u w:val="single"/>
        </w:rPr>
      </w:pPr>
      <w:r>
        <w:rPr>
          <w:rFonts w:hint="eastAsia" w:hAnsi="宋体" w:cs="宋体"/>
        </w:rPr>
        <w:t>单位名称：</w:t>
      </w:r>
      <w:r>
        <w:rPr>
          <w:rFonts w:hint="eastAsia" w:hAnsi="宋体" w:cs="宋体"/>
          <w:u w:val="single"/>
        </w:rPr>
        <w:t xml:space="preserve">                         </w:t>
      </w:r>
    </w:p>
    <w:p w14:paraId="3B6BB1BB">
      <w:pPr>
        <w:pStyle w:val="11"/>
        <w:spacing w:line="360" w:lineRule="exact"/>
        <w:ind w:firstLine="277"/>
        <w:rPr>
          <w:rFonts w:hint="eastAsia" w:hAnsi="宋体" w:cs="宋体"/>
        </w:rPr>
      </w:pPr>
      <w:r>
        <w:rPr>
          <w:rFonts w:hint="eastAsia" w:hAnsi="宋体" w:cs="宋体"/>
        </w:rPr>
        <w:t>单位性质：</w:t>
      </w:r>
      <w:r>
        <w:rPr>
          <w:rFonts w:hint="eastAsia" w:hAnsi="宋体" w:cs="宋体"/>
          <w:u w:val="single"/>
        </w:rPr>
        <w:t xml:space="preserve">                         </w:t>
      </w:r>
    </w:p>
    <w:p w14:paraId="2D8E2B0D">
      <w:pPr>
        <w:pStyle w:val="11"/>
        <w:spacing w:line="360" w:lineRule="exact"/>
        <w:ind w:firstLine="277"/>
        <w:rPr>
          <w:rFonts w:hint="eastAsia" w:hAnsi="宋体" w:cs="宋体"/>
        </w:rPr>
      </w:pPr>
      <w:r>
        <w:rPr>
          <w:rFonts w:hint="eastAsia" w:hAnsi="宋体" w:cs="宋体"/>
        </w:rPr>
        <w:t>地    址：</w:t>
      </w:r>
      <w:r>
        <w:rPr>
          <w:rFonts w:hint="eastAsia" w:hAnsi="宋体" w:cs="宋体"/>
          <w:u w:val="single"/>
        </w:rPr>
        <w:t xml:space="preserve">                         </w:t>
      </w:r>
    </w:p>
    <w:p w14:paraId="42165C94">
      <w:pPr>
        <w:pStyle w:val="11"/>
        <w:spacing w:line="360" w:lineRule="exact"/>
        <w:ind w:firstLine="277"/>
        <w:rPr>
          <w:rFonts w:hint="eastAsia" w:hAnsi="宋体" w:cs="宋体"/>
        </w:rPr>
      </w:pPr>
      <w:r>
        <w:rPr>
          <w:rFonts w:hint="eastAsia" w:hAnsi="宋体" w:cs="宋体"/>
        </w:rPr>
        <w:t>成立时间：</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p>
    <w:p w14:paraId="6EEA5ED9">
      <w:pPr>
        <w:pStyle w:val="11"/>
        <w:spacing w:line="360" w:lineRule="exact"/>
        <w:ind w:firstLine="277"/>
        <w:rPr>
          <w:rFonts w:hint="eastAsia" w:hAnsi="宋体" w:cs="宋体"/>
          <w:u w:val="single"/>
        </w:rPr>
      </w:pPr>
      <w:r>
        <w:rPr>
          <w:rFonts w:hint="eastAsia" w:hAnsi="宋体" w:cs="宋体"/>
        </w:rPr>
        <w:t>经营期限：</w:t>
      </w:r>
      <w:r>
        <w:rPr>
          <w:rFonts w:hint="eastAsia" w:hAnsi="宋体" w:cs="宋体"/>
          <w:u w:val="single"/>
        </w:rPr>
        <w:t xml:space="preserve">                          </w:t>
      </w:r>
    </w:p>
    <w:p w14:paraId="304596CE">
      <w:pPr>
        <w:pStyle w:val="11"/>
        <w:spacing w:line="360" w:lineRule="exact"/>
        <w:ind w:firstLine="277"/>
        <w:rPr>
          <w:rFonts w:hint="eastAsia" w:hAnsi="宋体" w:cs="宋体"/>
        </w:rPr>
      </w:pPr>
      <w:r>
        <w:rPr>
          <w:rFonts w:hint="eastAsia" w:hAnsi="宋体" w:cs="宋体"/>
        </w:rPr>
        <w:t>姓名：</w:t>
      </w:r>
      <w:r>
        <w:rPr>
          <w:rFonts w:hint="eastAsia" w:hAnsi="宋体" w:cs="宋体"/>
          <w:u w:val="single"/>
        </w:rPr>
        <w:t xml:space="preserve">       </w:t>
      </w:r>
      <w:r>
        <w:rPr>
          <w:rFonts w:hint="eastAsia" w:hAnsi="宋体" w:cs="宋体"/>
        </w:rPr>
        <w:t>性别：</w:t>
      </w:r>
      <w:r>
        <w:rPr>
          <w:rFonts w:hint="eastAsia" w:hAnsi="宋体" w:cs="宋体"/>
          <w:u w:val="single"/>
        </w:rPr>
        <w:t xml:space="preserve">   </w:t>
      </w:r>
      <w:r>
        <w:rPr>
          <w:rFonts w:hint="eastAsia" w:hAnsi="宋体" w:cs="宋体"/>
        </w:rPr>
        <w:t>年龄：</w:t>
      </w:r>
      <w:r>
        <w:rPr>
          <w:rFonts w:hint="eastAsia" w:hAnsi="宋体" w:cs="宋体"/>
          <w:u w:val="single"/>
        </w:rPr>
        <w:t xml:space="preserve">     </w:t>
      </w:r>
      <w:r>
        <w:rPr>
          <w:rFonts w:hint="eastAsia" w:hAnsi="宋体" w:cs="宋体"/>
        </w:rPr>
        <w:t>职务：</w:t>
      </w:r>
      <w:r>
        <w:rPr>
          <w:rFonts w:hint="eastAsia" w:hAnsi="宋体" w:cs="宋体"/>
          <w:u w:val="single"/>
        </w:rPr>
        <w:t xml:space="preserve">       </w:t>
      </w:r>
    </w:p>
    <w:p w14:paraId="78B72CEE">
      <w:pPr>
        <w:pStyle w:val="11"/>
        <w:spacing w:line="360" w:lineRule="exact"/>
        <w:ind w:firstLine="277"/>
        <w:rPr>
          <w:rFonts w:hint="eastAsia" w:hAnsi="宋体" w:cs="宋体"/>
        </w:rPr>
      </w:pPr>
      <w:r>
        <w:rPr>
          <w:rFonts w:hint="eastAsia" w:hAnsi="宋体" w:cs="宋体"/>
        </w:rPr>
        <w:t>系</w:t>
      </w:r>
      <w:r>
        <w:rPr>
          <w:rFonts w:hint="eastAsia" w:hAnsi="宋体" w:cs="宋体"/>
          <w:u w:val="single"/>
        </w:rPr>
        <w:t xml:space="preserve">     （投标人名称）  </w:t>
      </w:r>
      <w:r>
        <w:rPr>
          <w:rFonts w:hint="eastAsia" w:hAnsi="宋体" w:cs="宋体"/>
        </w:rPr>
        <w:t>的法定代表人。</w:t>
      </w:r>
    </w:p>
    <w:p w14:paraId="2643AD55">
      <w:pPr>
        <w:pStyle w:val="11"/>
        <w:spacing w:line="360" w:lineRule="exact"/>
        <w:ind w:firstLine="277"/>
        <w:rPr>
          <w:rFonts w:hint="eastAsia" w:hAnsi="宋体" w:cs="宋体"/>
        </w:rPr>
      </w:pPr>
      <w:r>
        <w:rPr>
          <w:rFonts w:hint="eastAsia" w:hAnsi="宋体" w:cs="宋体"/>
        </w:rPr>
        <w:t>特此证明。</w:t>
      </w:r>
    </w:p>
    <w:p w14:paraId="0D5D6DEC">
      <w:pPr>
        <w:pStyle w:val="11"/>
        <w:spacing w:line="360" w:lineRule="exact"/>
        <w:ind w:right="420" w:firstLine="5565" w:firstLineChars="2650"/>
        <w:rPr>
          <w:rFonts w:hint="eastAsia" w:hAnsi="宋体" w:cs="宋体"/>
        </w:rPr>
      </w:pPr>
      <w:r>
        <w:rPr>
          <w:rFonts w:hint="eastAsia" w:hAnsi="宋体" w:cs="宋体"/>
        </w:rPr>
        <w:t>投标人（</w:t>
      </w:r>
      <w:r>
        <w:rPr>
          <w:rFonts w:hint="eastAsia" w:hAnsi="宋体" w:cs="宋体"/>
          <w:b/>
          <w:bCs/>
        </w:rPr>
        <w:t>CA电子签章</w:t>
      </w:r>
      <w:r>
        <w:rPr>
          <w:rFonts w:hint="eastAsia" w:hAnsi="宋体" w:cs="宋体"/>
        </w:rPr>
        <w:t>）：</w:t>
      </w:r>
      <w:r>
        <w:rPr>
          <w:rFonts w:hint="eastAsia" w:hAnsi="宋体" w:cs="宋体"/>
          <w:u w:val="single"/>
        </w:rPr>
        <w:t xml:space="preserve">               </w:t>
      </w:r>
    </w:p>
    <w:p w14:paraId="544EBA9E">
      <w:pPr>
        <w:pStyle w:val="11"/>
        <w:spacing w:line="360" w:lineRule="exact"/>
        <w:ind w:firstLine="420"/>
        <w:jc w:val="center"/>
        <w:rPr>
          <w:rFonts w:hint="eastAsia" w:hAnsi="宋体" w:cs="宋体"/>
        </w:rPr>
      </w:pPr>
      <w:r>
        <w:rPr>
          <w:rFonts w:hint="eastAsia" w:hAnsi="宋体" w:cs="宋体"/>
        </w:rPr>
        <w:t xml:space="preserve">                                                 日期：       年   月   日</w:t>
      </w:r>
    </w:p>
    <w:p w14:paraId="6B5A2EF7">
      <w:pPr>
        <w:pStyle w:val="11"/>
        <w:spacing w:line="360" w:lineRule="exact"/>
        <w:rPr>
          <w:rFonts w:hint="eastAsia" w:hAnsi="宋体" w:cs="宋体"/>
        </w:rPr>
      </w:pPr>
      <w:r>
        <w:rPr>
          <w:rFonts w:hint="eastAsia" w:hAnsi="宋体" w:cs="宋体"/>
        </w:rPr>
        <w:t xml:space="preserve">                                                                                                                                                                                        </w:t>
      </w:r>
    </w:p>
    <w:p w14:paraId="7DC8A553">
      <w:pPr>
        <w:pStyle w:val="11"/>
        <w:spacing w:line="360" w:lineRule="exact"/>
        <w:rPr>
          <w:rFonts w:hint="eastAsia" w:hAnsi="宋体" w:cs="宋体"/>
        </w:rPr>
      </w:pPr>
      <w:r>
        <w:rPr>
          <w:rFonts w:hint="eastAsia" w:hAnsi="宋体" w:cs="宋体"/>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12700</wp:posOffset>
                </wp:positionV>
                <wp:extent cx="3497580" cy="2029460"/>
                <wp:effectExtent l="5080" t="4445" r="21590" b="23495"/>
                <wp:wrapNone/>
                <wp:docPr id="9" name="矩形 28"/>
                <wp:cNvGraphicFramePr/>
                <a:graphic xmlns:a="http://schemas.openxmlformats.org/drawingml/2006/main">
                  <a:graphicData uri="http://schemas.microsoft.com/office/word/2010/wordprocessingShape">
                    <wps:wsp>
                      <wps:cNvSpPr>
                        <a:spLocks noChangeArrowheads="1"/>
                      </wps:cNvSpPr>
                      <wps:spPr bwMode="auto">
                        <a:xfrm>
                          <a:off x="0" y="0"/>
                          <a:ext cx="3497580" cy="2029460"/>
                        </a:xfrm>
                        <a:prstGeom prst="rect">
                          <a:avLst/>
                        </a:prstGeom>
                        <a:noFill/>
                        <a:ln w="9525">
                          <a:solidFill>
                            <a:srgbClr val="000000"/>
                          </a:solidFill>
                          <a:miter lim="800000"/>
                        </a:ln>
                        <a:effectLst/>
                      </wps:spPr>
                      <wps:txbx>
                        <w:txbxContent>
                          <w:p w14:paraId="7CCA765A"/>
                          <w:p w14:paraId="7E2B4FF5"/>
                          <w:p w14:paraId="5EA759B8"/>
                          <w:p w14:paraId="5529E174"/>
                          <w:p w14:paraId="42BAF169"/>
                          <w:p w14:paraId="18CC33EC">
                            <w:pPr>
                              <w:jc w:val="center"/>
                            </w:pPr>
                            <w:r>
                              <w:rPr>
                                <w:rFonts w:hint="eastAsia"/>
                              </w:rPr>
                              <w:t>法定代表人第二代居民身份证</w:t>
                            </w:r>
                          </w:p>
                          <w:p w14:paraId="6CF091FD">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8" o:spid="_x0000_s1026" o:spt="1" style="position:absolute;left:0pt;margin-left:9pt;margin-top:1pt;height:159.8pt;width:275.4pt;z-index:251666432;mso-width-relative:page;mso-height-relative:page;" filled="f" stroked="t" coordsize="21600,21600" o:gfxdata="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gssPu1gAAAAgBAAAPAAAAAAAAAAEAIAAAACIAAABkcnMvZG93&#10;bnJldi54bWxQSwECFAAUAAAACACHTuJARvz6TTsCAABhBAAADgAAAAAAAAABACAAAAAlAQAAZHJz&#10;L2Uyb0RvYy54bWxQSwUGAAAAAAYABgBZAQAA0gUAAAAA&#10;">
                <v:fill on="f" focussize="0,0"/>
                <v:stroke color="#000000" miterlimit="8" joinstyle="miter"/>
                <v:imagedata o:title=""/>
                <o:lock v:ext="edit" aspectratio="f"/>
                <v:textbox>
                  <w:txbxContent>
                    <w:p w14:paraId="7CCA765A"/>
                    <w:p w14:paraId="7E2B4FF5"/>
                    <w:p w14:paraId="5EA759B8"/>
                    <w:p w14:paraId="5529E174"/>
                    <w:p w14:paraId="42BAF169"/>
                    <w:p w14:paraId="18CC33EC">
                      <w:pPr>
                        <w:jc w:val="center"/>
                      </w:pPr>
                      <w:r>
                        <w:rPr>
                          <w:rFonts w:hint="eastAsia"/>
                        </w:rPr>
                        <w:t>法定代表人第二代居民身份证</w:t>
                      </w:r>
                    </w:p>
                    <w:p w14:paraId="6CF091FD">
                      <w:pPr>
                        <w:jc w:val="center"/>
                        <w:rPr>
                          <w:b/>
                        </w:rPr>
                      </w:pPr>
                      <w:r>
                        <w:rPr>
                          <w:rFonts w:hint="eastAsia"/>
                          <w:b/>
                        </w:rPr>
                        <w:t>（正面）</w:t>
                      </w:r>
                    </w:p>
                  </w:txbxContent>
                </v:textbox>
              </v:rect>
            </w:pict>
          </mc:Fallback>
        </mc:AlternateContent>
      </w:r>
      <w:r>
        <w:rPr>
          <w:rFonts w:hint="eastAsia" w:hAnsi="宋体" w:cs="宋体"/>
        </w:rPr>
        <mc:AlternateContent>
          <mc:Choice Requires="wps">
            <w:drawing>
              <wp:anchor distT="180340" distB="0" distL="114300" distR="114300" simplePos="0" relativeHeight="251664384" behindDoc="0" locked="0" layoutInCell="0" allowOverlap="1">
                <wp:simplePos x="0" y="0"/>
                <wp:positionH relativeFrom="column">
                  <wp:posOffset>0</wp:posOffset>
                </wp:positionH>
                <wp:positionV relativeFrom="paragraph">
                  <wp:posOffset>0</wp:posOffset>
                </wp:positionV>
                <wp:extent cx="6134100" cy="0"/>
                <wp:effectExtent l="0" t="4445" r="0" b="0"/>
                <wp:wrapTopAndBottom/>
                <wp:docPr id="8" name="直线 26"/>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6" o:spid="_x0000_s1026" o:spt="20" style="position:absolute;left:0pt;margin-left:0pt;margin-top:0pt;height:0pt;width:483pt;mso-wrap-distance-bottom:0pt;mso-wrap-distance-top:14.2pt;z-index:25166438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AdU99AAAAACAQAADwAAAAAAAAABACAA&#10;AAAiAAAAZHJzL2Rvd25yZXYueG1sUEsBAhQAFAAAAAgAh07iQIr2PUrcAQAAsAMAAA4AAAAAAAAA&#10;AQAgAAAAHwEAAGRycy9lMm9Eb2MueG1sUEsFBgAAAAAGAAYAWQEAAG0FAAAAAA==&#10;">
                <v:fill on="f" focussize="0,0"/>
                <v:stroke color="#000000" joinstyle="round"/>
                <v:imagedata o:title=""/>
                <o:lock v:ext="edit" aspectratio="f"/>
                <w10:wrap type="topAndBottom"/>
              </v:line>
            </w:pict>
          </mc:Fallback>
        </mc:AlternateContent>
      </w:r>
      <w:r>
        <w:rPr>
          <w:rFonts w:hint="eastAsia" w:hAnsi="宋体" w:cs="宋体"/>
        </w:rPr>
        <w:t xml:space="preserve">  </w:t>
      </w:r>
    </w:p>
    <w:p w14:paraId="157B5B10">
      <w:pPr>
        <w:pStyle w:val="11"/>
        <w:spacing w:line="360" w:lineRule="exact"/>
        <w:rPr>
          <w:rFonts w:hint="eastAsia" w:hAnsi="宋体" w:cs="宋体"/>
        </w:rPr>
      </w:pPr>
    </w:p>
    <w:p w14:paraId="38613CAB">
      <w:pPr>
        <w:pStyle w:val="11"/>
        <w:spacing w:line="360" w:lineRule="exact"/>
        <w:rPr>
          <w:rFonts w:hint="eastAsia" w:hAnsi="宋体" w:cs="宋体"/>
        </w:rPr>
      </w:pPr>
    </w:p>
    <w:p w14:paraId="05614D62">
      <w:pPr>
        <w:pStyle w:val="11"/>
        <w:spacing w:line="360" w:lineRule="exact"/>
        <w:rPr>
          <w:rFonts w:hint="eastAsia" w:hAnsi="宋体" w:cs="宋体"/>
        </w:rPr>
      </w:pPr>
    </w:p>
    <w:p w14:paraId="00E2533D">
      <w:pPr>
        <w:pStyle w:val="11"/>
        <w:spacing w:line="360" w:lineRule="exact"/>
        <w:rPr>
          <w:rFonts w:hint="eastAsia" w:hAnsi="宋体" w:cs="宋体"/>
        </w:rPr>
      </w:pPr>
    </w:p>
    <w:p w14:paraId="05A00C34">
      <w:pPr>
        <w:pStyle w:val="11"/>
        <w:spacing w:line="360" w:lineRule="exact"/>
        <w:ind w:firstLine="6300" w:firstLineChars="3000"/>
        <w:rPr>
          <w:rFonts w:hint="eastAsia" w:hAnsi="宋体" w:cs="宋体"/>
        </w:rPr>
      </w:pPr>
    </w:p>
    <w:p w14:paraId="6800CD7A">
      <w:pPr>
        <w:pStyle w:val="11"/>
        <w:spacing w:line="360" w:lineRule="exact"/>
        <w:rPr>
          <w:rFonts w:hint="eastAsia" w:hAnsi="宋体" w:cs="宋体"/>
        </w:rPr>
      </w:pPr>
    </w:p>
    <w:p w14:paraId="01D7BB91">
      <w:pPr>
        <w:pStyle w:val="11"/>
        <w:spacing w:line="360" w:lineRule="exact"/>
        <w:rPr>
          <w:rFonts w:hint="eastAsia" w:hAnsi="宋体" w:cs="宋体"/>
        </w:rPr>
      </w:pPr>
    </w:p>
    <w:p w14:paraId="4C434FAA">
      <w:pPr>
        <w:pStyle w:val="11"/>
        <w:spacing w:line="360" w:lineRule="exact"/>
        <w:rPr>
          <w:rFonts w:hint="eastAsia" w:hAnsi="宋体" w:cs="宋体"/>
        </w:rPr>
      </w:pPr>
      <w:r>
        <w:rPr>
          <w:rFonts w:hint="eastAsia" w:hAnsi="宋体" w:cs="宋体"/>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66040</wp:posOffset>
                </wp:positionV>
                <wp:extent cx="3497580" cy="2068830"/>
                <wp:effectExtent l="5080" t="4445" r="21590" b="22225"/>
                <wp:wrapNone/>
                <wp:docPr id="7" name="矩形 27"/>
                <wp:cNvGraphicFramePr/>
                <a:graphic xmlns:a="http://schemas.openxmlformats.org/drawingml/2006/main">
                  <a:graphicData uri="http://schemas.microsoft.com/office/word/2010/wordprocessingShape">
                    <wps:wsp>
                      <wps:cNvSpPr>
                        <a:spLocks noChangeArrowheads="1"/>
                      </wps:cNvSpPr>
                      <wps:spPr bwMode="auto">
                        <a:xfrm>
                          <a:off x="0" y="0"/>
                          <a:ext cx="3497580" cy="2068830"/>
                        </a:xfrm>
                        <a:prstGeom prst="rect">
                          <a:avLst/>
                        </a:prstGeom>
                        <a:noFill/>
                        <a:ln w="9525">
                          <a:solidFill>
                            <a:srgbClr val="000000"/>
                          </a:solidFill>
                          <a:miter lim="800000"/>
                        </a:ln>
                        <a:effectLst/>
                      </wps:spPr>
                      <wps:txbx>
                        <w:txbxContent>
                          <w:p w14:paraId="5C91986C"/>
                          <w:p w14:paraId="589143B2"/>
                          <w:p w14:paraId="57DEE30C"/>
                          <w:p w14:paraId="1CB925F8"/>
                          <w:p w14:paraId="05F25012"/>
                          <w:p w14:paraId="3BF68620">
                            <w:pPr>
                              <w:jc w:val="center"/>
                            </w:pPr>
                            <w:r>
                              <w:rPr>
                                <w:rFonts w:hint="eastAsia"/>
                              </w:rPr>
                              <w:t>法定代表人第二代居民身份证</w:t>
                            </w:r>
                          </w:p>
                          <w:p w14:paraId="7B844D51">
                            <w:pPr>
                              <w:jc w:val="center"/>
                              <w:rPr>
                                <w:b/>
                              </w:rP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27" o:spid="_x0000_s1026" o:spt="1" style="position:absolute;left:0pt;margin-left:9pt;margin-top:5.2pt;height:162.9pt;width:275.4pt;z-index:251665408;mso-width-relative:page;mso-height-relative:page;" filled="f" stroked="t" coordsize="21600,21600" o:gfxdata="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fWbc9cAAAAJAQAADwAAAAAAAAABACAAAAAiAAAAZHJzL2Rv&#10;d25yZXYueG1sUEsBAhQAFAAAAAgAh07iQHfgiWU7AgAAYQQAAA4AAAAAAAAAAQAgAAAAJgEAAGRy&#10;cy9lMm9Eb2MueG1sUEsFBgAAAAAGAAYAWQEAANMFAAAAAA==&#10;">
                <v:fill on="f" focussize="0,0"/>
                <v:stroke color="#000000" miterlimit="8" joinstyle="miter"/>
                <v:imagedata o:title=""/>
                <o:lock v:ext="edit" aspectratio="f"/>
                <v:textbox>
                  <w:txbxContent>
                    <w:p w14:paraId="5C91986C"/>
                    <w:p w14:paraId="589143B2"/>
                    <w:p w14:paraId="57DEE30C"/>
                    <w:p w14:paraId="1CB925F8"/>
                    <w:p w14:paraId="05F25012"/>
                    <w:p w14:paraId="3BF68620">
                      <w:pPr>
                        <w:jc w:val="center"/>
                      </w:pPr>
                      <w:r>
                        <w:rPr>
                          <w:rFonts w:hint="eastAsia"/>
                        </w:rPr>
                        <w:t>法定代表人第二代居民身份证</w:t>
                      </w:r>
                    </w:p>
                    <w:p w14:paraId="7B844D51">
                      <w:pPr>
                        <w:jc w:val="center"/>
                        <w:rPr>
                          <w:b/>
                        </w:rPr>
                      </w:pPr>
                      <w:r>
                        <w:rPr>
                          <w:rFonts w:hint="eastAsia"/>
                          <w:b/>
                        </w:rPr>
                        <w:t>（背面）</w:t>
                      </w:r>
                    </w:p>
                  </w:txbxContent>
                </v:textbox>
              </v:rect>
            </w:pict>
          </mc:Fallback>
        </mc:AlternateContent>
      </w:r>
    </w:p>
    <w:p w14:paraId="4D540A1F">
      <w:pPr>
        <w:pStyle w:val="11"/>
        <w:spacing w:line="360" w:lineRule="exact"/>
        <w:rPr>
          <w:rFonts w:hint="eastAsia" w:hAnsi="宋体" w:cs="宋体"/>
        </w:rPr>
      </w:pPr>
    </w:p>
    <w:p w14:paraId="2C151E2E">
      <w:pPr>
        <w:pStyle w:val="11"/>
        <w:spacing w:line="360" w:lineRule="exact"/>
        <w:rPr>
          <w:rFonts w:hint="eastAsia" w:hAnsi="宋体" w:cs="宋体"/>
        </w:rPr>
      </w:pPr>
    </w:p>
    <w:p w14:paraId="41339929">
      <w:pPr>
        <w:pStyle w:val="11"/>
        <w:spacing w:line="360" w:lineRule="exact"/>
        <w:rPr>
          <w:rFonts w:hint="eastAsia" w:hAnsi="宋体" w:cs="宋体"/>
          <w:sz w:val="44"/>
        </w:rPr>
      </w:pPr>
    </w:p>
    <w:p w14:paraId="73879A8D">
      <w:pPr>
        <w:pStyle w:val="11"/>
        <w:spacing w:line="360" w:lineRule="exact"/>
        <w:rPr>
          <w:rFonts w:hint="eastAsia" w:hAnsi="宋体" w:cs="宋体"/>
          <w:sz w:val="44"/>
        </w:rPr>
      </w:pPr>
    </w:p>
    <w:p w14:paraId="3440F933">
      <w:pPr>
        <w:pStyle w:val="11"/>
        <w:spacing w:line="360" w:lineRule="exact"/>
        <w:rPr>
          <w:rFonts w:hint="eastAsia" w:hAnsi="宋体" w:cs="宋体"/>
          <w:sz w:val="44"/>
        </w:rPr>
      </w:pPr>
    </w:p>
    <w:p w14:paraId="3BA4FB9C">
      <w:pPr>
        <w:pStyle w:val="11"/>
        <w:spacing w:line="360" w:lineRule="exact"/>
        <w:rPr>
          <w:rFonts w:hint="eastAsia" w:hAnsi="宋体" w:cs="宋体"/>
          <w:sz w:val="44"/>
        </w:rPr>
      </w:pPr>
    </w:p>
    <w:p w14:paraId="43556098">
      <w:pPr>
        <w:spacing w:line="360" w:lineRule="exact"/>
        <w:jc w:val="center"/>
        <w:rPr>
          <w:rFonts w:hint="eastAsia" w:ascii="宋体" w:hAnsi="宋体" w:cs="宋体"/>
        </w:rPr>
      </w:pPr>
    </w:p>
    <w:p w14:paraId="3D6787A7">
      <w:pPr>
        <w:spacing w:line="360" w:lineRule="exact"/>
        <w:jc w:val="center"/>
        <w:rPr>
          <w:rFonts w:hint="eastAsia" w:ascii="宋体" w:hAnsi="宋体" w:cs="宋体"/>
        </w:rPr>
      </w:pPr>
      <w:r>
        <w:rPr>
          <w:rFonts w:hint="eastAsia" w:ascii="宋体" w:hAnsi="宋体" w:cs="宋体"/>
        </w:rPr>
        <w:t xml:space="preserve">      </w:t>
      </w:r>
    </w:p>
    <w:p w14:paraId="47CBE2BD">
      <w:pPr>
        <w:spacing w:line="360" w:lineRule="exact"/>
        <w:jc w:val="center"/>
        <w:rPr>
          <w:rFonts w:hint="eastAsia" w:ascii="宋体" w:hAnsi="宋体" w:cs="宋体"/>
          <w:u w:val="single"/>
        </w:rPr>
      </w:pPr>
      <w:r>
        <w:rPr>
          <w:rFonts w:hint="eastAsia" w:ascii="宋体" w:hAnsi="宋体" w:cs="宋体"/>
        </w:rPr>
        <w:t xml:space="preserve">                               </w:t>
      </w:r>
    </w:p>
    <w:p w14:paraId="73C65B07">
      <w:pPr>
        <w:pStyle w:val="11"/>
        <w:spacing w:line="360" w:lineRule="exact"/>
        <w:ind w:firstLine="5460" w:firstLineChars="2600"/>
        <w:rPr>
          <w:rFonts w:hint="eastAsia" w:hAnsi="宋体" w:cs="宋体"/>
          <w:u w:val="single"/>
        </w:rPr>
      </w:pPr>
      <w:r>
        <w:rPr>
          <w:rFonts w:hint="eastAsia" w:hAnsi="宋体" w:cs="宋体"/>
        </w:rPr>
        <w:t>法定代表人</w:t>
      </w:r>
      <w:r>
        <w:rPr>
          <w:rFonts w:hint="eastAsia" w:hAnsi="宋体" w:cs="宋体"/>
          <w:b/>
          <w:bCs/>
        </w:rPr>
        <w:t>（签字）：</w:t>
      </w:r>
      <w:r>
        <w:rPr>
          <w:rFonts w:hint="eastAsia" w:hAnsi="宋体" w:cs="宋体"/>
          <w:u w:val="single"/>
        </w:rPr>
        <w:t xml:space="preserve">            </w:t>
      </w:r>
    </w:p>
    <w:p w14:paraId="1B9F0ABD">
      <w:pPr>
        <w:pStyle w:val="11"/>
        <w:spacing w:line="360" w:lineRule="exact"/>
        <w:rPr>
          <w:rFonts w:hint="eastAsia" w:hAnsi="宋体" w:cs="宋体"/>
          <w:b/>
          <w:sz w:val="24"/>
        </w:rPr>
      </w:pPr>
    </w:p>
    <w:p w14:paraId="3F6BBD6A">
      <w:pPr>
        <w:pStyle w:val="11"/>
        <w:spacing w:line="360" w:lineRule="exact"/>
        <w:ind w:firstLine="420" w:firstLineChars="200"/>
        <w:rPr>
          <w:rFonts w:hint="eastAsia" w:hAnsi="宋体" w:cs="宋体"/>
        </w:rPr>
      </w:pPr>
    </w:p>
    <w:p w14:paraId="234E73A9">
      <w:pPr>
        <w:pStyle w:val="11"/>
        <w:spacing w:line="360" w:lineRule="exact"/>
        <w:ind w:firstLine="5460" w:firstLineChars="2600"/>
        <w:rPr>
          <w:rFonts w:hint="eastAsia" w:hAnsi="宋体" w:cs="宋体"/>
          <w:u w:val="single"/>
        </w:rPr>
      </w:pPr>
    </w:p>
    <w:p w14:paraId="13B7E04E">
      <w:pPr>
        <w:pStyle w:val="11"/>
        <w:spacing w:line="360" w:lineRule="exact"/>
        <w:rPr>
          <w:rFonts w:hint="eastAsia" w:hAnsi="宋体" w:cs="宋体"/>
          <w:spacing w:val="-4"/>
        </w:rPr>
      </w:pPr>
      <w:r>
        <w:rPr>
          <w:rFonts w:hint="eastAsia" w:hAnsi="宋体" w:cs="宋体"/>
          <w:b/>
        </w:rPr>
        <w:br w:type="page"/>
      </w:r>
      <w:r>
        <w:rPr>
          <w:rFonts w:hint="eastAsia" w:hAnsi="宋体" w:cs="宋体"/>
          <w:b/>
          <w:sz w:val="24"/>
          <w:szCs w:val="24"/>
        </w:rPr>
        <w:t>（2）法定代表人授权委托书格式（委托代理时必须提供）：</w:t>
      </w:r>
    </w:p>
    <w:p w14:paraId="1024D5DF">
      <w:pPr>
        <w:pStyle w:val="11"/>
        <w:spacing w:line="360" w:lineRule="exact"/>
        <w:jc w:val="center"/>
        <w:rPr>
          <w:rFonts w:hint="eastAsia" w:hAnsi="宋体" w:cs="宋体"/>
          <w:sz w:val="32"/>
        </w:rPr>
      </w:pPr>
    </w:p>
    <w:p w14:paraId="702D9510">
      <w:pPr>
        <w:pStyle w:val="11"/>
        <w:spacing w:line="360" w:lineRule="exact"/>
        <w:jc w:val="center"/>
        <w:rPr>
          <w:rFonts w:hint="eastAsia" w:hAnsi="宋体" w:cs="宋体"/>
          <w:b/>
          <w:bCs/>
          <w:sz w:val="32"/>
        </w:rPr>
      </w:pPr>
      <w:r>
        <w:rPr>
          <w:rFonts w:hint="eastAsia" w:hAnsi="宋体" w:cs="宋体"/>
          <w:b/>
          <w:bCs/>
          <w:sz w:val="32"/>
        </w:rPr>
        <w:t>法定代表人授权委托书</w:t>
      </w:r>
    </w:p>
    <w:p w14:paraId="1FBC8AD7">
      <w:pPr>
        <w:snapToGrid w:val="0"/>
        <w:spacing w:line="360" w:lineRule="exact"/>
        <w:rPr>
          <w:rFonts w:hint="eastAsia" w:ascii="宋体" w:hAnsi="宋体" w:cs="宋体"/>
          <w:bCs/>
          <w:szCs w:val="21"/>
        </w:rPr>
      </w:pPr>
    </w:p>
    <w:p w14:paraId="1F270FAE">
      <w:pPr>
        <w:snapToGrid w:val="0"/>
        <w:spacing w:line="360" w:lineRule="exact"/>
        <w:rPr>
          <w:rFonts w:hint="eastAsia" w:ascii="宋体" w:hAnsi="宋体" w:cs="宋体"/>
          <w:b/>
          <w:bCs/>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b/>
          <w:bCs/>
          <w:szCs w:val="21"/>
        </w:rPr>
        <w:t xml:space="preserve"> </w:t>
      </w:r>
      <w:r>
        <w:rPr>
          <w:rFonts w:hint="eastAsia" w:ascii="宋体" w:hAnsi="宋体" w:cs="宋体"/>
          <w:szCs w:val="21"/>
        </w:rPr>
        <w:t>：</w:t>
      </w:r>
    </w:p>
    <w:p w14:paraId="38915B2E">
      <w:pPr>
        <w:snapToGrid w:val="0"/>
        <w:spacing w:line="360" w:lineRule="exact"/>
        <w:ind w:firstLine="630" w:firstLineChars="300"/>
        <w:rPr>
          <w:rFonts w:hint="eastAsia" w:ascii="宋体" w:hAnsi="宋体" w:cs="宋体"/>
          <w:szCs w:val="21"/>
        </w:rPr>
      </w:pPr>
      <w:r>
        <w:rPr>
          <w:rFonts w:hint="eastAsia" w:ascii="宋体" w:hAnsi="宋体" w:cs="宋体"/>
          <w:szCs w:val="21"/>
        </w:rPr>
        <w:t xml:space="preserve">我 </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（投标人名称）的法定代表人，现授权委托</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w:t>
      </w:r>
      <w:r>
        <w:rPr>
          <w:rFonts w:hint="eastAsia" w:ascii="宋体" w:hAnsi="宋体" w:cs="宋体"/>
          <w:szCs w:val="21"/>
        </w:rPr>
        <w:t>项目的投标活动，并代表我方全权办理针对上述项目的投标、开标、转为其他方式采购、评标、签约等具体事务和签署相关文件。</w:t>
      </w:r>
    </w:p>
    <w:p w14:paraId="3B63CCCD">
      <w:pPr>
        <w:snapToGrid w:val="0"/>
        <w:spacing w:line="360" w:lineRule="exact"/>
        <w:rPr>
          <w:rFonts w:hint="eastAsia" w:ascii="宋体" w:hAnsi="宋体" w:cs="宋体"/>
          <w:szCs w:val="21"/>
        </w:rPr>
      </w:pPr>
      <w:r>
        <w:rPr>
          <w:rFonts w:hint="eastAsia" w:ascii="宋体" w:hAnsi="宋体" w:cs="宋体"/>
          <w:szCs w:val="21"/>
        </w:rPr>
        <w:t xml:space="preserve">    我方对被授权人的签名事项负全部责任。</w:t>
      </w:r>
    </w:p>
    <w:p w14:paraId="7EB4AD2F">
      <w:pPr>
        <w:snapToGrid w:val="0"/>
        <w:spacing w:line="360" w:lineRule="exact"/>
        <w:ind w:firstLine="480"/>
        <w:rPr>
          <w:rFonts w:hint="eastAsia" w:ascii="宋体" w:hAnsi="宋体" w:cs="宋体"/>
          <w:szCs w:val="21"/>
        </w:rPr>
      </w:pPr>
      <w:r>
        <w:rPr>
          <w:rFonts w:hint="eastAsia" w:ascii="宋体" w:hAnsi="宋体" w:cs="宋体"/>
          <w:szCs w:val="21"/>
          <w:u w:val="single"/>
        </w:rPr>
        <w:t>在撤销授权的书面通知以前，本授权书一直有效。</w:t>
      </w:r>
      <w:r>
        <w:rPr>
          <w:rFonts w:hint="eastAsia" w:ascii="宋体" w:hAnsi="宋体" w:cs="宋体"/>
          <w:szCs w:val="21"/>
        </w:rPr>
        <w:t>被授权人在授权书有效期内签署的所有文件不因授权的撤销而失效。</w:t>
      </w:r>
    </w:p>
    <w:p w14:paraId="7464E6AC">
      <w:pPr>
        <w:snapToGrid w:val="0"/>
        <w:spacing w:line="360" w:lineRule="exact"/>
        <w:ind w:firstLine="480"/>
        <w:rPr>
          <w:rFonts w:hint="eastAsia" w:ascii="宋体" w:hAnsi="宋体" w:cs="宋体"/>
          <w:szCs w:val="21"/>
        </w:rPr>
      </w:pPr>
      <w:r>
        <w:rPr>
          <w:rFonts w:hint="eastAsia" w:ascii="宋体" w:hAnsi="宋体" w:cs="宋体"/>
          <w:szCs w:val="21"/>
        </w:rPr>
        <w:t>被授权人无转委托权，特此委托。</w:t>
      </w:r>
    </w:p>
    <w:p w14:paraId="5DF24566">
      <w:pPr>
        <w:snapToGrid w:val="0"/>
        <w:spacing w:line="360" w:lineRule="exact"/>
        <w:rPr>
          <w:rFonts w:hint="eastAsia" w:ascii="宋体" w:hAnsi="宋体" w:cs="宋体"/>
          <w:szCs w:val="21"/>
        </w:rPr>
      </w:pPr>
    </w:p>
    <w:p w14:paraId="325D5011">
      <w:pPr>
        <w:snapToGrid w:val="0"/>
        <w:spacing w:line="360" w:lineRule="exact"/>
        <w:rPr>
          <w:rFonts w:hint="eastAsia" w:ascii="宋体" w:hAnsi="宋体" w:cs="宋体"/>
          <w:szCs w:val="21"/>
          <w:u w:val="single"/>
        </w:rPr>
      </w:pPr>
      <w:r>
        <w:rPr>
          <w:rFonts w:hint="eastAsia" w:ascii="宋体" w:hAnsi="宋体" w:cs="宋体"/>
          <w:szCs w:val="21"/>
        </w:rPr>
        <w:t>被授权人</w:t>
      </w:r>
      <w:r>
        <w:rPr>
          <w:rFonts w:hint="eastAsia" w:ascii="宋体" w:hAnsi="宋体" w:cs="宋体"/>
          <w:b/>
          <w:bCs/>
          <w:szCs w:val="21"/>
        </w:rPr>
        <w:t>（签字）</w:t>
      </w:r>
      <w:r>
        <w:rPr>
          <w:rFonts w:hint="eastAsia" w:ascii="宋体" w:hAnsi="宋体" w:cs="宋体"/>
          <w:szCs w:val="21"/>
        </w:rPr>
        <w:t>：</w:t>
      </w:r>
      <w:r>
        <w:rPr>
          <w:rFonts w:hint="eastAsia" w:ascii="宋体" w:hAnsi="宋体" w:cs="宋体"/>
          <w:szCs w:val="21"/>
          <w:u w:val="single"/>
        </w:rPr>
        <w:t xml:space="preserve">               </w:t>
      </w:r>
      <w:r>
        <w:rPr>
          <w:rFonts w:hint="eastAsia" w:ascii="宋体" w:hAnsi="宋体" w:cs="宋体"/>
          <w:szCs w:val="21"/>
        </w:rPr>
        <w:t xml:space="preserve">   法定代表人</w:t>
      </w:r>
      <w:r>
        <w:rPr>
          <w:rFonts w:hint="eastAsia" w:ascii="宋体" w:hAnsi="宋体" w:cs="宋体"/>
          <w:b/>
          <w:bCs/>
          <w:szCs w:val="21"/>
        </w:rPr>
        <w:t>（</w:t>
      </w:r>
      <w:r>
        <w:rPr>
          <w:rFonts w:hint="eastAsia" w:ascii="宋体" w:hAnsi="宋体" w:cs="宋体"/>
          <w:b/>
          <w:szCs w:val="21"/>
        </w:rPr>
        <w:t>签字</w:t>
      </w:r>
      <w:r>
        <w:rPr>
          <w:rFonts w:hint="eastAsia" w:ascii="宋体" w:hAnsi="宋体" w:cs="宋体"/>
          <w:b/>
          <w:bCs/>
          <w:szCs w:val="21"/>
        </w:rPr>
        <w:t>）</w:t>
      </w:r>
      <w:r>
        <w:rPr>
          <w:rFonts w:hint="eastAsia" w:ascii="宋体" w:hAnsi="宋体" w:cs="宋体"/>
          <w:szCs w:val="21"/>
        </w:rPr>
        <w:t>：</w:t>
      </w:r>
      <w:r>
        <w:rPr>
          <w:rFonts w:hint="eastAsia" w:ascii="宋体" w:hAnsi="宋体" w:cs="宋体"/>
          <w:szCs w:val="21"/>
          <w:u w:val="single"/>
        </w:rPr>
        <w:t xml:space="preserve">                       </w:t>
      </w:r>
    </w:p>
    <w:p w14:paraId="40D5793D">
      <w:pPr>
        <w:snapToGrid w:val="0"/>
        <w:spacing w:line="360" w:lineRule="exact"/>
        <w:rPr>
          <w:rFonts w:hint="eastAsia" w:ascii="宋体" w:hAnsi="宋体" w:cs="宋体"/>
          <w:szCs w:val="21"/>
        </w:rPr>
      </w:pPr>
      <w:r>
        <w:rPr>
          <w:rFonts w:hint="eastAsia" w:ascii="宋体" w:hAnsi="宋体" w:cs="宋体"/>
          <w:szCs w:val="21"/>
        </w:rPr>
        <w:t>被授权人所在部门：</w:t>
      </w:r>
      <w:r>
        <w:rPr>
          <w:rFonts w:hint="eastAsia" w:ascii="宋体" w:hAnsi="宋体" w:cs="宋体"/>
          <w:szCs w:val="21"/>
          <w:u w:val="single"/>
        </w:rPr>
        <w:t xml:space="preserve">               </w:t>
      </w:r>
      <w:r>
        <w:rPr>
          <w:rFonts w:hint="eastAsia" w:ascii="宋体" w:hAnsi="宋体" w:cs="宋体"/>
          <w:szCs w:val="21"/>
        </w:rPr>
        <w:t xml:space="preserve">           被授权人职务：</w:t>
      </w:r>
      <w:r>
        <w:rPr>
          <w:rFonts w:hint="eastAsia" w:ascii="宋体" w:hAnsi="宋体" w:cs="宋体"/>
          <w:szCs w:val="21"/>
          <w:u w:val="single"/>
        </w:rPr>
        <w:t xml:space="preserve">                             </w:t>
      </w:r>
    </w:p>
    <w:p w14:paraId="5898E390">
      <w:pPr>
        <w:snapToGrid w:val="0"/>
        <w:spacing w:line="360" w:lineRule="exact"/>
        <w:rPr>
          <w:rFonts w:hint="eastAsia"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7C5EF34F">
      <w:pPr>
        <w:snapToGrid w:val="0"/>
        <w:spacing w:line="360" w:lineRule="exact"/>
        <w:jc w:val="center"/>
        <w:rPr>
          <w:rFonts w:hint="eastAsia" w:ascii="宋体" w:hAnsi="宋体" w:cs="宋体"/>
          <w:szCs w:val="21"/>
        </w:rPr>
      </w:pPr>
      <w:r>
        <w:rPr>
          <w:rFonts w:hint="eastAsia" w:ascii="宋体" w:hAnsi="宋体" w:cs="宋体"/>
          <w:szCs w:val="21"/>
        </w:rPr>
        <w:t xml:space="preserve">                                   投标人</w:t>
      </w:r>
      <w:r>
        <w:rPr>
          <w:rFonts w:hint="eastAsia" w:ascii="宋体" w:hAnsi="宋体" w:cs="宋体"/>
        </w:rPr>
        <w:t>（</w:t>
      </w:r>
      <w:r>
        <w:rPr>
          <w:rFonts w:hint="eastAsia" w:ascii="宋体" w:hAnsi="宋体" w:cs="宋体"/>
          <w:b/>
          <w:bCs/>
        </w:rPr>
        <w:t>CA电子签章</w:t>
      </w:r>
      <w:r>
        <w:rPr>
          <w:rFonts w:hint="eastAsia" w:ascii="宋体" w:hAnsi="宋体" w:cs="宋体"/>
        </w:rPr>
        <w:t>）：</w:t>
      </w:r>
      <w:r>
        <w:rPr>
          <w:rFonts w:hint="eastAsia" w:ascii="宋体" w:hAnsi="宋体" w:cs="宋体"/>
          <w:u w:val="single"/>
        </w:rPr>
        <w:t xml:space="preserve">                </w:t>
      </w:r>
    </w:p>
    <w:p w14:paraId="61A92265">
      <w:pPr>
        <w:pStyle w:val="11"/>
        <w:spacing w:line="360" w:lineRule="exact"/>
        <w:rPr>
          <w:rFonts w:hint="eastAsia" w:hAnsi="宋体" w:cs="宋体"/>
        </w:rPr>
      </w:pPr>
      <w:r>
        <w:rPr>
          <w:rFonts w:hint="eastAsia" w:hAnsi="宋体" w:cs="宋体"/>
        </w:rPr>
        <mc:AlternateContent>
          <mc:Choice Requires="wps">
            <w:drawing>
              <wp:anchor distT="180340" distB="0" distL="114300" distR="114300" simplePos="0" relativeHeight="251667456" behindDoc="0" locked="0" layoutInCell="0" allowOverlap="1">
                <wp:simplePos x="0" y="0"/>
                <wp:positionH relativeFrom="column">
                  <wp:posOffset>0</wp:posOffset>
                </wp:positionH>
                <wp:positionV relativeFrom="paragraph">
                  <wp:posOffset>419100</wp:posOffset>
                </wp:positionV>
                <wp:extent cx="6134100" cy="0"/>
                <wp:effectExtent l="0" t="4445" r="0" b="0"/>
                <wp:wrapTopAndBottom/>
                <wp:docPr id="6" name="直线 29"/>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9525">
                          <a:solidFill>
                            <a:srgbClr val="000000"/>
                          </a:solidFill>
                          <a:round/>
                        </a:ln>
                        <a:effectLst/>
                      </wps:spPr>
                      <wps:bodyPr/>
                    </wps:wsp>
                  </a:graphicData>
                </a:graphic>
              </wp:anchor>
            </w:drawing>
          </mc:Choice>
          <mc:Fallback>
            <w:pict>
              <v:line id="直线 29" o:spid="_x0000_s1026" o:spt="20" style="position:absolute;left:0pt;margin-left:0pt;margin-top:33pt;height:0pt;width:483pt;mso-wrap-distance-bottom:0pt;mso-wrap-distance-top:14.2pt;z-index:251667456;mso-width-relative:page;mso-height-relative:page;" filled="f" stroked="t" coordsize="21600,21600" o:allowincell="f" o:gfxdata="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S4+Tj0QAAAAYBAAAPAAAAAAAAAAEA&#10;IAAAACIAAABkcnMvZG93bnJldi54bWxQSwECFAAUAAAACACHTuJAA6rysd0BAACwAwAADgAAAAAA&#10;AAABACAAAAAgAQAAZHJzL2Uyb0RvYy54bWxQSwUGAAAAAAYABgBZAQAAbwUAAAAA&#10;">
                <v:fill on="f" focussize="0,0"/>
                <v:stroke color="#000000" joinstyle="round"/>
                <v:imagedata o:title=""/>
                <o:lock v:ext="edit" aspectratio="f"/>
                <w10:wrap type="topAndBottom"/>
              </v:line>
            </w:pict>
          </mc:Fallback>
        </mc:AlternateContent>
      </w:r>
      <w:r>
        <w:rPr>
          <w:rFonts w:hint="eastAsia" w:hAnsi="宋体" w:cs="宋体"/>
        </w:rPr>
        <w:t xml:space="preserve">                                                            日期：       年   月   日</w:t>
      </w:r>
    </w:p>
    <w:p w14:paraId="309970E8">
      <w:pPr>
        <w:pStyle w:val="11"/>
        <w:spacing w:line="360" w:lineRule="exact"/>
        <w:rPr>
          <w:rFonts w:hint="eastAsia" w:hAnsi="宋体" w:cs="宋体"/>
        </w:rPr>
      </w:pPr>
      <w:r>
        <w:rPr>
          <w:rFonts w:hint="eastAsia" w:hAnsi="宋体" w:cs="宋体"/>
        </w:rPr>
        <w:t xml:space="preserve">                                                                                                                                                                                        </w:t>
      </w:r>
    </w:p>
    <w:p w14:paraId="098D438F">
      <w:pPr>
        <w:pStyle w:val="11"/>
        <w:spacing w:line="360" w:lineRule="exact"/>
        <w:rPr>
          <w:rFonts w:hint="eastAsia" w:hAnsi="宋体" w:cs="宋体"/>
        </w:rPr>
      </w:pPr>
      <w:r>
        <w:rPr>
          <w:rFonts w:hint="eastAsia" w:hAnsi="宋体" w:cs="宋体"/>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12700</wp:posOffset>
                </wp:positionV>
                <wp:extent cx="3239135" cy="1697990"/>
                <wp:effectExtent l="4445" t="4445" r="13970" b="12065"/>
                <wp:wrapNone/>
                <wp:docPr id="5" name="矩形 31"/>
                <wp:cNvGraphicFramePr/>
                <a:graphic xmlns:a="http://schemas.openxmlformats.org/drawingml/2006/main">
                  <a:graphicData uri="http://schemas.microsoft.com/office/word/2010/wordprocessingShape">
                    <wps:wsp>
                      <wps:cNvSpPr>
                        <a:spLocks noChangeArrowheads="1"/>
                      </wps:cNvSpPr>
                      <wps:spPr bwMode="auto">
                        <a:xfrm>
                          <a:off x="0" y="0"/>
                          <a:ext cx="3239135" cy="1697990"/>
                        </a:xfrm>
                        <a:prstGeom prst="rect">
                          <a:avLst/>
                        </a:prstGeom>
                        <a:noFill/>
                        <a:ln w="9525">
                          <a:solidFill>
                            <a:srgbClr val="000000"/>
                          </a:solidFill>
                          <a:miter lim="800000"/>
                        </a:ln>
                        <a:effectLst/>
                      </wps:spPr>
                      <wps:txbx>
                        <w:txbxContent>
                          <w:p w14:paraId="48940546"/>
                          <w:p w14:paraId="719B244B"/>
                          <w:p w14:paraId="67CC5797"/>
                          <w:p w14:paraId="25492FEC"/>
                          <w:p w14:paraId="03C03213"/>
                          <w:p w14:paraId="7F4DC55C">
                            <w:pPr>
                              <w:jc w:val="center"/>
                            </w:pPr>
                            <w:r>
                              <w:rPr>
                                <w:rFonts w:hint="eastAsia"/>
                              </w:rPr>
                              <w:t>委托代理人第二代居民身份证</w:t>
                            </w:r>
                          </w:p>
                          <w:p w14:paraId="65995F0B">
                            <w:pPr>
                              <w:jc w:val="center"/>
                            </w:pPr>
                            <w:r>
                              <w:rPr>
                                <w:rFonts w:hint="eastAsia"/>
                                <w:b/>
                              </w:rPr>
                              <w:t>（正面）</w:t>
                            </w:r>
                          </w:p>
                          <w:p w14:paraId="47E01651">
                            <w:pPr>
                              <w:jc w:val="center"/>
                            </w:pPr>
                          </w:p>
                        </w:txbxContent>
                      </wps:txbx>
                      <wps:bodyPr rot="0" vert="horz" wrap="square" lIns="91440" tIns="45720" rIns="91440" bIns="45720" anchor="t" anchorCtr="0" upright="1">
                        <a:noAutofit/>
                      </wps:bodyPr>
                    </wps:wsp>
                  </a:graphicData>
                </a:graphic>
              </wp:anchor>
            </w:drawing>
          </mc:Choice>
          <mc:Fallback>
            <w:pict>
              <v:rect id="矩形 31" o:spid="_x0000_s1026" o:spt="1" style="position:absolute;left:0pt;margin-left:9pt;margin-top:1pt;height:133.7pt;width:255.05pt;z-index:251669504;mso-width-relative:page;mso-height-relative:page;" filled="f" stroked="t" coordsize="21600,21600" o:gfxdata="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Nm+T/1gAAAAgBAAAPAAAAAAAAAAEAIAAAACIAAABkcnMvZG93&#10;bnJldi54bWxQSwECFAAUAAAACACHTuJA/oNqbzsCAABhBAAADgAAAAAAAAABACAAAAAlAQAAZHJz&#10;L2Uyb0RvYy54bWxQSwUGAAAAAAYABgBZAQAA0gUAAAAA&#10;">
                <v:fill on="f" focussize="0,0"/>
                <v:stroke color="#000000" miterlimit="8" joinstyle="miter"/>
                <v:imagedata o:title=""/>
                <o:lock v:ext="edit" aspectratio="f"/>
                <v:textbox>
                  <w:txbxContent>
                    <w:p w14:paraId="48940546"/>
                    <w:p w14:paraId="719B244B"/>
                    <w:p w14:paraId="67CC5797"/>
                    <w:p w14:paraId="25492FEC"/>
                    <w:p w14:paraId="03C03213"/>
                    <w:p w14:paraId="7F4DC55C">
                      <w:pPr>
                        <w:jc w:val="center"/>
                      </w:pPr>
                      <w:r>
                        <w:rPr>
                          <w:rFonts w:hint="eastAsia"/>
                        </w:rPr>
                        <w:t>委托代理人第二代居民身份证</w:t>
                      </w:r>
                    </w:p>
                    <w:p w14:paraId="65995F0B">
                      <w:pPr>
                        <w:jc w:val="center"/>
                      </w:pPr>
                      <w:r>
                        <w:rPr>
                          <w:rFonts w:hint="eastAsia"/>
                          <w:b/>
                        </w:rPr>
                        <w:t>（正面）</w:t>
                      </w:r>
                    </w:p>
                    <w:p w14:paraId="47E01651">
                      <w:pPr>
                        <w:jc w:val="center"/>
                      </w:pPr>
                    </w:p>
                  </w:txbxContent>
                </v:textbox>
              </v:rect>
            </w:pict>
          </mc:Fallback>
        </mc:AlternateContent>
      </w:r>
      <w:r>
        <w:rPr>
          <w:rFonts w:hint="eastAsia" w:hAnsi="宋体" w:cs="宋体"/>
        </w:rPr>
        <w:t xml:space="preserve">  </w:t>
      </w:r>
    </w:p>
    <w:p w14:paraId="0B657F2C">
      <w:pPr>
        <w:pStyle w:val="11"/>
        <w:spacing w:line="360" w:lineRule="exact"/>
        <w:rPr>
          <w:rFonts w:hint="eastAsia" w:hAnsi="宋体" w:cs="宋体"/>
        </w:rPr>
      </w:pPr>
    </w:p>
    <w:p w14:paraId="4FCC73A1">
      <w:pPr>
        <w:pStyle w:val="11"/>
        <w:spacing w:line="360" w:lineRule="exact"/>
        <w:rPr>
          <w:rFonts w:hint="eastAsia" w:hAnsi="宋体" w:cs="宋体"/>
        </w:rPr>
      </w:pPr>
    </w:p>
    <w:p w14:paraId="717CCD9D">
      <w:pPr>
        <w:pStyle w:val="11"/>
        <w:spacing w:line="360" w:lineRule="exact"/>
        <w:rPr>
          <w:rFonts w:hint="eastAsia" w:hAnsi="宋体" w:cs="宋体"/>
        </w:rPr>
      </w:pPr>
    </w:p>
    <w:p w14:paraId="5BE8EFFA">
      <w:pPr>
        <w:pStyle w:val="11"/>
        <w:spacing w:line="360" w:lineRule="exact"/>
        <w:rPr>
          <w:rFonts w:hint="eastAsia" w:hAnsi="宋体" w:cs="宋体"/>
        </w:rPr>
      </w:pPr>
    </w:p>
    <w:p w14:paraId="124B320C">
      <w:pPr>
        <w:pStyle w:val="11"/>
        <w:spacing w:line="360" w:lineRule="exact"/>
        <w:ind w:firstLine="5460" w:firstLineChars="2600"/>
        <w:rPr>
          <w:rFonts w:hint="eastAsia" w:hAnsi="宋体" w:cs="宋体"/>
          <w:u w:val="single"/>
        </w:rPr>
      </w:pPr>
    </w:p>
    <w:p w14:paraId="69CBC33C">
      <w:pPr>
        <w:pStyle w:val="11"/>
        <w:spacing w:line="360" w:lineRule="exact"/>
        <w:ind w:firstLine="5460" w:firstLineChars="2600"/>
        <w:rPr>
          <w:rFonts w:hint="eastAsia" w:hAnsi="宋体" w:cs="宋体"/>
          <w:u w:val="single"/>
        </w:rPr>
      </w:pPr>
    </w:p>
    <w:p w14:paraId="490DBC93">
      <w:pPr>
        <w:pStyle w:val="11"/>
        <w:spacing w:line="360" w:lineRule="exact"/>
        <w:ind w:firstLine="6300" w:firstLineChars="3000"/>
        <w:rPr>
          <w:rFonts w:hint="eastAsia" w:hAnsi="宋体" w:cs="宋体"/>
        </w:rPr>
      </w:pPr>
    </w:p>
    <w:p w14:paraId="2F081CD5">
      <w:pPr>
        <w:pStyle w:val="11"/>
        <w:spacing w:line="360" w:lineRule="exact"/>
        <w:rPr>
          <w:rFonts w:hint="eastAsia" w:hAnsi="宋体" w:cs="宋体"/>
        </w:rPr>
      </w:pPr>
      <w:r>
        <w:rPr>
          <w:rFonts w:hint="eastAsia" w:hAnsi="宋体" w:cs="宋体"/>
        </w:rPr>
        <mc:AlternateContent>
          <mc:Choice Requires="wps">
            <w:drawing>
              <wp:anchor distT="0" distB="0" distL="114300" distR="114300" simplePos="0" relativeHeight="251668480" behindDoc="0" locked="0" layoutInCell="1" allowOverlap="1">
                <wp:simplePos x="0" y="0"/>
                <wp:positionH relativeFrom="column">
                  <wp:posOffset>107950</wp:posOffset>
                </wp:positionH>
                <wp:positionV relativeFrom="paragraph">
                  <wp:posOffset>67310</wp:posOffset>
                </wp:positionV>
                <wp:extent cx="3291205" cy="1792605"/>
                <wp:effectExtent l="4445" t="5080" r="19050" b="12065"/>
                <wp:wrapNone/>
                <wp:docPr id="4" name="矩形 30"/>
                <wp:cNvGraphicFramePr/>
                <a:graphic xmlns:a="http://schemas.openxmlformats.org/drawingml/2006/main">
                  <a:graphicData uri="http://schemas.microsoft.com/office/word/2010/wordprocessingShape">
                    <wps:wsp>
                      <wps:cNvSpPr>
                        <a:spLocks noChangeArrowheads="1"/>
                      </wps:cNvSpPr>
                      <wps:spPr bwMode="auto">
                        <a:xfrm>
                          <a:off x="0" y="0"/>
                          <a:ext cx="3291205" cy="1792605"/>
                        </a:xfrm>
                        <a:prstGeom prst="rect">
                          <a:avLst/>
                        </a:prstGeom>
                        <a:noFill/>
                        <a:ln w="9525">
                          <a:solidFill>
                            <a:srgbClr val="000000"/>
                          </a:solidFill>
                          <a:miter lim="800000"/>
                        </a:ln>
                        <a:effectLst/>
                      </wps:spPr>
                      <wps:txbx>
                        <w:txbxContent>
                          <w:p w14:paraId="71FC5078"/>
                          <w:p w14:paraId="77A7EE92"/>
                          <w:p w14:paraId="0078554C"/>
                          <w:p w14:paraId="236CFAA2"/>
                          <w:p w14:paraId="26D7F145"/>
                          <w:p w14:paraId="454FAFEE">
                            <w:pPr>
                              <w:jc w:val="center"/>
                            </w:pPr>
                            <w:r>
                              <w:rPr>
                                <w:rFonts w:hint="eastAsia"/>
                              </w:rPr>
                              <w:t>委托代理人第二代居民身份证</w:t>
                            </w:r>
                          </w:p>
                          <w:p w14:paraId="1D1D2713">
                            <w:pPr>
                              <w:jc w:val="center"/>
                            </w:pPr>
                            <w:r>
                              <w:rPr>
                                <w:rFonts w:hint="eastAsia"/>
                                <w:b/>
                              </w:rPr>
                              <w:t>（背面）</w:t>
                            </w:r>
                          </w:p>
                        </w:txbxContent>
                      </wps:txbx>
                      <wps:bodyPr rot="0" vert="horz" wrap="square" lIns="91440" tIns="45720" rIns="91440" bIns="45720" anchor="t" anchorCtr="0" upright="1">
                        <a:noAutofit/>
                      </wps:bodyPr>
                    </wps:wsp>
                  </a:graphicData>
                </a:graphic>
              </wp:anchor>
            </w:drawing>
          </mc:Choice>
          <mc:Fallback>
            <w:pict>
              <v:rect id="矩形 30" o:spid="_x0000_s1026" o:spt="1" style="position:absolute;left:0pt;margin-left:8.5pt;margin-top:5.3pt;height:141.15pt;width:259.15pt;z-index:251668480;mso-width-relative:page;mso-height-relative:page;" filled="f" stroked="t" coordsize="21600,21600" o:gfxdata="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2K4ov2AAAAAkBAAAPAAAAAAAAAAEAIAAAACIAAABkcnMvZG93&#10;bnJldi54bWxQSwECFAAUAAAACACHTuJAYY/F+TkCAABhBAAADgAAAAAAAAABACAAAAAnAQAAZHJz&#10;L2Uyb0RvYy54bWxQSwUGAAAAAAYABgBZAQAA0gUAAAAA&#10;">
                <v:fill on="f" focussize="0,0"/>
                <v:stroke color="#000000" miterlimit="8" joinstyle="miter"/>
                <v:imagedata o:title=""/>
                <o:lock v:ext="edit" aspectratio="f"/>
                <v:textbox>
                  <w:txbxContent>
                    <w:p w14:paraId="71FC5078"/>
                    <w:p w14:paraId="77A7EE92"/>
                    <w:p w14:paraId="0078554C"/>
                    <w:p w14:paraId="236CFAA2"/>
                    <w:p w14:paraId="26D7F145"/>
                    <w:p w14:paraId="454FAFEE">
                      <w:pPr>
                        <w:jc w:val="center"/>
                      </w:pPr>
                      <w:r>
                        <w:rPr>
                          <w:rFonts w:hint="eastAsia"/>
                        </w:rPr>
                        <w:t>委托代理人第二代居民身份证</w:t>
                      </w:r>
                    </w:p>
                    <w:p w14:paraId="1D1D2713">
                      <w:pPr>
                        <w:jc w:val="center"/>
                      </w:pPr>
                      <w:r>
                        <w:rPr>
                          <w:rFonts w:hint="eastAsia"/>
                          <w:b/>
                        </w:rPr>
                        <w:t>（背面）</w:t>
                      </w:r>
                    </w:p>
                  </w:txbxContent>
                </v:textbox>
              </v:rect>
            </w:pict>
          </mc:Fallback>
        </mc:AlternateContent>
      </w:r>
    </w:p>
    <w:p w14:paraId="6546F184">
      <w:pPr>
        <w:pStyle w:val="11"/>
        <w:spacing w:line="360" w:lineRule="exact"/>
        <w:rPr>
          <w:rFonts w:hint="eastAsia" w:hAnsi="宋体" w:cs="宋体"/>
        </w:rPr>
      </w:pPr>
    </w:p>
    <w:p w14:paraId="6DAC427F">
      <w:pPr>
        <w:pStyle w:val="11"/>
        <w:spacing w:line="360" w:lineRule="exact"/>
        <w:rPr>
          <w:rFonts w:hint="eastAsia" w:hAnsi="宋体" w:cs="宋体"/>
        </w:rPr>
      </w:pPr>
    </w:p>
    <w:p w14:paraId="047FF169">
      <w:pPr>
        <w:pStyle w:val="11"/>
        <w:spacing w:line="360" w:lineRule="exact"/>
        <w:rPr>
          <w:rFonts w:hint="eastAsia" w:hAnsi="宋体" w:cs="宋体"/>
        </w:rPr>
      </w:pPr>
    </w:p>
    <w:p w14:paraId="3B5CF295">
      <w:pPr>
        <w:pStyle w:val="11"/>
        <w:spacing w:line="360" w:lineRule="exact"/>
        <w:rPr>
          <w:rFonts w:hint="eastAsia" w:hAnsi="宋体" w:cs="宋体"/>
          <w:sz w:val="44"/>
        </w:rPr>
      </w:pPr>
    </w:p>
    <w:p w14:paraId="77D302C3">
      <w:pPr>
        <w:snapToGrid w:val="0"/>
        <w:spacing w:line="400" w:lineRule="exact"/>
        <w:jc w:val="left"/>
        <w:rPr>
          <w:rFonts w:hint="eastAsia" w:ascii="宋体" w:hAnsi="宋体" w:cs="宋体"/>
          <w:bCs/>
          <w:sz w:val="24"/>
        </w:rPr>
      </w:pPr>
    </w:p>
    <w:p w14:paraId="751DDB5D">
      <w:pPr>
        <w:pStyle w:val="5"/>
        <w:overflowPunct w:val="0"/>
        <w:spacing w:line="440" w:lineRule="exact"/>
        <w:ind w:left="0" w:firstLine="480" w:firstLineChars="200"/>
        <w:rPr>
          <w:rFonts w:hint="eastAsia" w:hAnsi="宋体" w:cs="宋体"/>
          <w:bCs/>
          <w:sz w:val="24"/>
        </w:rPr>
      </w:pPr>
    </w:p>
    <w:p w14:paraId="1575679D">
      <w:pPr>
        <w:pStyle w:val="5"/>
        <w:overflowPunct w:val="0"/>
        <w:spacing w:line="440" w:lineRule="exact"/>
        <w:ind w:left="0" w:firstLine="480" w:firstLineChars="200"/>
        <w:rPr>
          <w:rFonts w:hint="eastAsia" w:hAnsi="宋体" w:cs="宋体"/>
          <w:bCs/>
          <w:sz w:val="24"/>
        </w:rPr>
      </w:pPr>
    </w:p>
    <w:p w14:paraId="5414AA01">
      <w:pPr>
        <w:numPr>
          <w:ilvl w:val="0"/>
          <w:numId w:val="5"/>
        </w:numPr>
        <w:tabs>
          <w:tab w:val="left" w:pos="3870"/>
          <w:tab w:val="left" w:pos="4085"/>
        </w:tabs>
        <w:snapToGrid w:val="0"/>
        <w:spacing w:line="400" w:lineRule="exact"/>
        <w:jc w:val="left"/>
        <w:rPr>
          <w:rFonts w:hint="eastAsia" w:ascii="宋体" w:hAnsi="宋体" w:cs="宋体"/>
          <w:sz w:val="24"/>
        </w:rPr>
      </w:pPr>
      <w:r>
        <w:rPr>
          <w:rFonts w:hint="eastAsia" w:ascii="宋体" w:hAnsi="宋体" w:cs="宋体"/>
          <w:bCs/>
          <w:sz w:val="24"/>
        </w:rPr>
        <w:br w:type="page"/>
      </w:r>
      <w:r>
        <w:rPr>
          <w:rFonts w:hint="eastAsia" w:ascii="宋体" w:hAnsi="宋体" w:cs="宋体"/>
          <w:sz w:val="24"/>
        </w:rPr>
        <w:t>投标人2022年度或2023年度财务状况报告（表）复印件或银行出具的资信证明复印件，对于从取得营业执照时间起到响应文件递交截止时间为止不足1年的供应商，只需提交响应文件递交截止时间前一个月的财务状况报告（表）复印件</w:t>
      </w:r>
      <w:r>
        <w:rPr>
          <w:rFonts w:hint="eastAsia" w:ascii="宋体" w:hAnsi="宋体" w:cs="宋体"/>
          <w:b/>
          <w:bCs/>
          <w:sz w:val="24"/>
        </w:rPr>
        <w:t>（必须提供）</w:t>
      </w:r>
      <w:r>
        <w:rPr>
          <w:rFonts w:hint="eastAsia" w:ascii="宋体" w:hAnsi="宋体" w:cs="宋体"/>
          <w:sz w:val="24"/>
        </w:rPr>
        <w:t>；</w:t>
      </w:r>
    </w:p>
    <w:p w14:paraId="37CADC81">
      <w:pPr>
        <w:tabs>
          <w:tab w:val="left" w:pos="3870"/>
          <w:tab w:val="left" w:pos="4085"/>
        </w:tabs>
        <w:snapToGrid w:val="0"/>
        <w:spacing w:line="400" w:lineRule="exact"/>
        <w:jc w:val="left"/>
        <w:rPr>
          <w:rFonts w:hint="eastAsia" w:ascii="宋体" w:hAnsi="宋体" w:cs="宋体"/>
          <w:sz w:val="24"/>
        </w:rPr>
      </w:pPr>
    </w:p>
    <w:p w14:paraId="7C7A092A">
      <w:pPr>
        <w:tabs>
          <w:tab w:val="left" w:pos="3870"/>
          <w:tab w:val="left" w:pos="4085"/>
        </w:tabs>
        <w:snapToGrid w:val="0"/>
        <w:spacing w:line="400" w:lineRule="exact"/>
        <w:jc w:val="left"/>
        <w:rPr>
          <w:rFonts w:hint="eastAsia" w:ascii="宋体" w:hAnsi="宋体" w:cs="宋体"/>
          <w:sz w:val="24"/>
        </w:rPr>
      </w:pPr>
    </w:p>
    <w:p w14:paraId="70BE9B52">
      <w:pPr>
        <w:tabs>
          <w:tab w:val="left" w:pos="3870"/>
          <w:tab w:val="left" w:pos="4085"/>
        </w:tabs>
        <w:snapToGrid w:val="0"/>
        <w:spacing w:line="400" w:lineRule="exact"/>
        <w:jc w:val="left"/>
        <w:rPr>
          <w:rFonts w:hint="eastAsia" w:ascii="宋体" w:hAnsi="宋体" w:cs="宋体"/>
          <w:sz w:val="24"/>
        </w:rPr>
      </w:pPr>
      <w:r>
        <w:rPr>
          <w:rFonts w:hint="eastAsia" w:ascii="宋体" w:hAnsi="宋体" w:cs="宋体"/>
          <w:sz w:val="24"/>
        </w:rPr>
        <w:t>（4）投标截止时间前8个月内，供应商任意1个月依法缴纳税费证明复印件，依法免税的供应商，须提供相应文件证明其依法免税</w:t>
      </w:r>
      <w:r>
        <w:rPr>
          <w:rFonts w:hint="eastAsia" w:ascii="宋体" w:hAnsi="宋体" w:cs="宋体"/>
          <w:b/>
          <w:bCs/>
          <w:sz w:val="24"/>
        </w:rPr>
        <w:t>（必须提供）</w:t>
      </w:r>
      <w:r>
        <w:rPr>
          <w:rFonts w:hint="eastAsia" w:ascii="宋体" w:hAnsi="宋体" w:cs="宋体"/>
          <w:sz w:val="24"/>
        </w:rPr>
        <w:t>；</w:t>
      </w:r>
    </w:p>
    <w:p w14:paraId="5B599DC9">
      <w:pPr>
        <w:tabs>
          <w:tab w:val="left" w:pos="3870"/>
          <w:tab w:val="left" w:pos="4085"/>
        </w:tabs>
        <w:snapToGrid w:val="0"/>
        <w:spacing w:line="400" w:lineRule="exact"/>
        <w:jc w:val="left"/>
        <w:rPr>
          <w:rFonts w:hint="eastAsia" w:ascii="宋体" w:hAnsi="宋体" w:cs="宋体"/>
          <w:sz w:val="24"/>
        </w:rPr>
      </w:pPr>
    </w:p>
    <w:p w14:paraId="180711BF">
      <w:pPr>
        <w:tabs>
          <w:tab w:val="left" w:pos="3870"/>
          <w:tab w:val="left" w:pos="4085"/>
        </w:tabs>
        <w:snapToGrid w:val="0"/>
        <w:spacing w:line="400" w:lineRule="exact"/>
        <w:jc w:val="left"/>
        <w:rPr>
          <w:rFonts w:hint="eastAsia" w:ascii="宋体" w:hAnsi="宋体" w:cs="宋体"/>
          <w:sz w:val="24"/>
        </w:rPr>
      </w:pPr>
    </w:p>
    <w:p w14:paraId="62408B2D">
      <w:pPr>
        <w:tabs>
          <w:tab w:val="left" w:pos="3870"/>
          <w:tab w:val="left" w:pos="4085"/>
        </w:tabs>
        <w:snapToGrid w:val="0"/>
        <w:spacing w:line="400" w:lineRule="exact"/>
        <w:jc w:val="left"/>
        <w:rPr>
          <w:rFonts w:hint="eastAsia" w:ascii="宋体" w:hAnsi="宋体" w:cs="宋体"/>
          <w:sz w:val="24"/>
        </w:rPr>
      </w:pPr>
      <w:r>
        <w:rPr>
          <w:rFonts w:hint="eastAsia" w:ascii="宋体" w:hAnsi="宋体" w:cs="宋体"/>
          <w:sz w:val="24"/>
        </w:rPr>
        <w:t>（5）投标截止时间前8个月内，供应商任意1个月的社保缴费证明记录复印件，依法不需要缴纳社会保障资金的供应商，须提供相应文件证明其不需要缴纳社会保障资金。</w:t>
      </w:r>
      <w:r>
        <w:rPr>
          <w:rFonts w:hint="eastAsia" w:ascii="宋体" w:hAnsi="宋体" w:cs="宋体"/>
          <w:b/>
          <w:bCs/>
          <w:sz w:val="24"/>
        </w:rPr>
        <w:t>（必须提供）</w:t>
      </w:r>
      <w:r>
        <w:rPr>
          <w:rFonts w:hint="eastAsia" w:ascii="宋体" w:hAnsi="宋体" w:cs="宋体"/>
          <w:sz w:val="24"/>
        </w:rPr>
        <w:t>；</w:t>
      </w:r>
    </w:p>
    <w:p w14:paraId="61281F6D">
      <w:pPr>
        <w:tabs>
          <w:tab w:val="left" w:pos="3870"/>
          <w:tab w:val="left" w:pos="4085"/>
        </w:tabs>
        <w:snapToGrid w:val="0"/>
        <w:spacing w:line="400" w:lineRule="exact"/>
        <w:jc w:val="left"/>
        <w:rPr>
          <w:rFonts w:hint="eastAsia" w:ascii="宋体" w:hAnsi="宋体" w:cs="宋体"/>
          <w:sz w:val="24"/>
        </w:rPr>
      </w:pPr>
    </w:p>
    <w:p w14:paraId="5B4A8FE2">
      <w:pPr>
        <w:tabs>
          <w:tab w:val="left" w:pos="3870"/>
          <w:tab w:val="left" w:pos="4085"/>
        </w:tabs>
        <w:snapToGrid w:val="0"/>
        <w:spacing w:line="400" w:lineRule="exact"/>
        <w:jc w:val="left"/>
        <w:rPr>
          <w:rFonts w:hint="eastAsia" w:ascii="宋体" w:hAnsi="宋体" w:cs="宋体"/>
          <w:sz w:val="24"/>
        </w:rPr>
      </w:pPr>
    </w:p>
    <w:p w14:paraId="567EB189">
      <w:pPr>
        <w:tabs>
          <w:tab w:val="left" w:pos="3870"/>
          <w:tab w:val="left" w:pos="4085"/>
        </w:tabs>
        <w:snapToGrid w:val="0"/>
        <w:spacing w:line="400" w:lineRule="exact"/>
        <w:jc w:val="left"/>
        <w:rPr>
          <w:rFonts w:hint="eastAsia" w:ascii="宋体" w:hAnsi="宋体" w:cs="宋体"/>
          <w:b/>
          <w:bCs/>
          <w:szCs w:val="21"/>
        </w:rPr>
      </w:pPr>
      <w:r>
        <w:rPr>
          <w:rFonts w:hint="eastAsia" w:ascii="宋体" w:hAnsi="宋体" w:cs="宋体"/>
          <w:sz w:val="24"/>
        </w:rPr>
        <w:t>（6）投标人有效主体资格证明（如营业执照、事业单位法人证书、执业许可证、自然人身份证等）</w:t>
      </w:r>
      <w:r>
        <w:rPr>
          <w:rFonts w:hint="eastAsia" w:ascii="宋体" w:hAnsi="宋体" w:cs="宋体"/>
          <w:b/>
          <w:bCs/>
          <w:sz w:val="24"/>
        </w:rPr>
        <w:t>（必须提供）</w:t>
      </w:r>
      <w:r>
        <w:rPr>
          <w:rFonts w:hint="eastAsia" w:ascii="宋体" w:hAnsi="宋体" w:cs="宋体"/>
          <w:sz w:val="24"/>
        </w:rPr>
        <w:t>。</w:t>
      </w:r>
    </w:p>
    <w:p w14:paraId="556DA5D7">
      <w:pPr>
        <w:tabs>
          <w:tab w:val="left" w:pos="3870"/>
          <w:tab w:val="left" w:pos="4085"/>
        </w:tabs>
        <w:snapToGrid w:val="0"/>
        <w:spacing w:line="420" w:lineRule="exact"/>
        <w:ind w:firstLine="422" w:firstLineChars="200"/>
        <w:jc w:val="left"/>
        <w:rPr>
          <w:rFonts w:hint="eastAsia" w:ascii="宋体" w:hAnsi="宋体" w:cs="宋体"/>
          <w:b/>
          <w:bCs/>
          <w:szCs w:val="21"/>
        </w:rPr>
      </w:pPr>
    </w:p>
    <w:p w14:paraId="6A801779">
      <w:pPr>
        <w:pStyle w:val="5"/>
      </w:pPr>
    </w:p>
    <w:p w14:paraId="77E8D4BF">
      <w:pPr>
        <w:spacing w:line="360" w:lineRule="auto"/>
        <w:contextualSpacing/>
        <w:rPr>
          <w:rFonts w:hint="eastAsia" w:ascii="宋体" w:hAnsi="宋体" w:cs="宋体"/>
          <w:b/>
          <w:bCs/>
          <w:sz w:val="24"/>
        </w:rPr>
        <w:sectPr>
          <w:footerReference r:id="rId7" w:type="default"/>
          <w:pgSz w:w="11906" w:h="16838"/>
          <w:pgMar w:top="1440" w:right="1247" w:bottom="1440" w:left="1361" w:header="851" w:footer="992" w:gutter="0"/>
          <w:cols w:space="720" w:num="1"/>
          <w:docGrid w:linePitch="312" w:charSpace="0"/>
        </w:sectPr>
      </w:pPr>
    </w:p>
    <w:p w14:paraId="6A6EDCEC">
      <w:pPr>
        <w:spacing w:line="360" w:lineRule="auto"/>
        <w:contextualSpacing/>
        <w:rPr>
          <w:rFonts w:hint="eastAsia" w:ascii="宋体" w:hAnsi="宋体" w:cs="宋体"/>
          <w:b/>
          <w:bCs/>
          <w:sz w:val="24"/>
        </w:rPr>
      </w:pPr>
      <w:r>
        <w:rPr>
          <w:rFonts w:hint="eastAsia" w:ascii="宋体" w:hAnsi="宋体" w:cs="宋体"/>
          <w:b/>
          <w:bCs/>
          <w:sz w:val="24"/>
        </w:rPr>
        <w:t>（7）</w:t>
      </w:r>
      <w:r>
        <w:rPr>
          <w:rFonts w:ascii="宋体" w:hAnsi="宋体" w:cs="宋体"/>
          <w:b/>
          <w:bCs/>
          <w:sz w:val="24"/>
        </w:rPr>
        <w:t>供应商直接控股、管理关系信息表</w:t>
      </w:r>
      <w:r>
        <w:rPr>
          <w:rFonts w:hint="eastAsia" w:ascii="宋体" w:hAnsi="宋体" w:cs="宋体"/>
          <w:b/>
          <w:bCs/>
          <w:sz w:val="24"/>
        </w:rPr>
        <w:t>（必须提供）</w:t>
      </w:r>
    </w:p>
    <w:p w14:paraId="3A1E31E3">
      <w:pPr>
        <w:spacing w:line="360" w:lineRule="auto"/>
        <w:contextualSpacing/>
        <w:jc w:val="center"/>
        <w:rPr>
          <w:rFonts w:ascii="Arial" w:hAnsi="Arial" w:cs="Arial"/>
          <w:b/>
          <w:sz w:val="24"/>
        </w:rPr>
      </w:pPr>
      <w:r>
        <w:rPr>
          <w:rFonts w:ascii="Arial" w:hAnsi="Arial" w:cs="Arial"/>
          <w:b/>
          <w:kern w:val="0"/>
          <w:sz w:val="30"/>
          <w:szCs w:val="30"/>
        </w:rPr>
        <w:t>供应商直接控股股东信息</w:t>
      </w:r>
    </w:p>
    <w:tbl>
      <w:tblPr>
        <w:tblStyle w:val="17"/>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9864F1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6C9760">
            <w:pPr>
              <w:widowControl/>
              <w:spacing w:line="360" w:lineRule="auto"/>
              <w:contextualSpacing/>
              <w:jc w:val="center"/>
              <w:rPr>
                <w:rFonts w:ascii="Arial" w:hAnsi="Arial" w:cs="Arial"/>
                <w:b/>
                <w:bCs/>
                <w:kern w:val="0"/>
                <w:sz w:val="24"/>
              </w:rPr>
            </w:pPr>
            <w:r>
              <w:rPr>
                <w:rFonts w:ascii="Arial" w:hAnsi="Arial" w:cs="Arial"/>
                <w:b/>
                <w:bCs/>
                <w:kern w:val="0"/>
                <w:sz w:val="24"/>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F80368">
            <w:pPr>
              <w:widowControl/>
              <w:spacing w:line="360" w:lineRule="auto"/>
              <w:contextualSpacing/>
              <w:jc w:val="center"/>
              <w:rPr>
                <w:rFonts w:ascii="Arial" w:hAnsi="Arial" w:cs="Arial"/>
                <w:b/>
                <w:bCs/>
                <w:kern w:val="0"/>
                <w:sz w:val="24"/>
              </w:rPr>
            </w:pPr>
            <w:r>
              <w:rPr>
                <w:rFonts w:ascii="Arial" w:hAnsi="Arial" w:cs="Arial"/>
                <w:b/>
                <w:bCs/>
                <w:kern w:val="0"/>
                <w:sz w:val="24"/>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A79C33">
            <w:pPr>
              <w:widowControl/>
              <w:spacing w:line="360" w:lineRule="auto"/>
              <w:contextualSpacing/>
              <w:jc w:val="center"/>
              <w:rPr>
                <w:rFonts w:ascii="Arial" w:hAnsi="Arial" w:cs="Arial"/>
                <w:b/>
                <w:bCs/>
                <w:kern w:val="0"/>
                <w:sz w:val="24"/>
              </w:rPr>
            </w:pPr>
            <w:r>
              <w:rPr>
                <w:rFonts w:ascii="Arial" w:hAnsi="Arial" w:cs="Arial"/>
                <w:b/>
                <w:bCs/>
                <w:kern w:val="0"/>
                <w:sz w:val="24"/>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202E30">
            <w:pPr>
              <w:widowControl/>
              <w:spacing w:line="360" w:lineRule="auto"/>
              <w:contextualSpacing/>
              <w:jc w:val="center"/>
              <w:rPr>
                <w:rFonts w:ascii="Arial" w:hAnsi="Arial" w:cs="Arial"/>
                <w:b/>
                <w:bCs/>
                <w:kern w:val="0"/>
                <w:sz w:val="24"/>
              </w:rPr>
            </w:pPr>
            <w:r>
              <w:rPr>
                <w:rFonts w:ascii="Arial" w:hAnsi="Arial" w:cs="Arial"/>
                <w:b/>
                <w:bCs/>
                <w:kern w:val="0"/>
                <w:sz w:val="24"/>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298C339">
            <w:pPr>
              <w:widowControl/>
              <w:spacing w:line="360" w:lineRule="auto"/>
              <w:contextualSpacing/>
              <w:jc w:val="center"/>
              <w:rPr>
                <w:rFonts w:ascii="Arial" w:hAnsi="Arial" w:cs="Arial"/>
                <w:b/>
                <w:bCs/>
                <w:kern w:val="0"/>
                <w:sz w:val="24"/>
              </w:rPr>
            </w:pPr>
            <w:r>
              <w:rPr>
                <w:rFonts w:ascii="Arial" w:hAnsi="Arial" w:cs="Arial"/>
                <w:b/>
                <w:bCs/>
                <w:kern w:val="0"/>
                <w:sz w:val="24"/>
              </w:rPr>
              <w:t>备注</w:t>
            </w:r>
          </w:p>
        </w:tc>
      </w:tr>
      <w:tr w14:paraId="6634813B">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9579C7">
            <w:pPr>
              <w:widowControl/>
              <w:spacing w:line="360" w:lineRule="auto"/>
              <w:contextualSpacing/>
              <w:jc w:val="center"/>
              <w:rPr>
                <w:rFonts w:ascii="Arial" w:hAnsi="Arial" w:cs="Arial"/>
                <w:kern w:val="0"/>
                <w:sz w:val="24"/>
              </w:rPr>
            </w:pPr>
            <w:r>
              <w:rPr>
                <w:rFonts w:ascii="Arial" w:hAnsi="Arial" w:cs="Arial"/>
                <w:kern w:val="0"/>
                <w:sz w:val="24"/>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16D9F42">
            <w:pPr>
              <w:widowControl/>
              <w:spacing w:line="360" w:lineRule="auto"/>
              <w:contextualSpacing/>
              <w:jc w:val="center"/>
              <w:rPr>
                <w:rFonts w:ascii="Arial" w:hAnsi="Arial" w:cs="Arial"/>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5838A42">
            <w:pPr>
              <w:widowControl/>
              <w:spacing w:line="360" w:lineRule="auto"/>
              <w:contextualSpacing/>
              <w:jc w:val="center"/>
              <w:rPr>
                <w:rFonts w:ascii="Arial" w:hAnsi="Arial" w:cs="Arial"/>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5BD34E">
            <w:pPr>
              <w:widowControl/>
              <w:spacing w:line="360" w:lineRule="auto"/>
              <w:contextualSpacing/>
              <w:jc w:val="center"/>
              <w:rPr>
                <w:rFonts w:ascii="Arial" w:hAnsi="Arial" w:cs="Arial"/>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C61C32">
            <w:pPr>
              <w:widowControl/>
              <w:spacing w:line="360" w:lineRule="auto"/>
              <w:contextualSpacing/>
              <w:jc w:val="center"/>
              <w:rPr>
                <w:rFonts w:ascii="Arial" w:hAnsi="Arial" w:cs="Arial"/>
                <w:kern w:val="0"/>
                <w:sz w:val="24"/>
              </w:rPr>
            </w:pPr>
          </w:p>
        </w:tc>
      </w:tr>
      <w:tr w14:paraId="57006085">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74E90D3">
            <w:pPr>
              <w:widowControl/>
              <w:spacing w:line="360" w:lineRule="auto"/>
              <w:contextualSpacing/>
              <w:jc w:val="center"/>
              <w:rPr>
                <w:rFonts w:ascii="Arial" w:hAnsi="Arial" w:cs="Arial"/>
                <w:kern w:val="0"/>
                <w:sz w:val="24"/>
              </w:rPr>
            </w:pPr>
            <w:r>
              <w:rPr>
                <w:rFonts w:ascii="Arial" w:hAnsi="Arial" w:cs="Arial"/>
                <w:kern w:val="0"/>
                <w:sz w:val="24"/>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16A0B4">
            <w:pPr>
              <w:widowControl/>
              <w:spacing w:line="360" w:lineRule="auto"/>
              <w:contextualSpacing/>
              <w:jc w:val="center"/>
              <w:rPr>
                <w:rFonts w:ascii="Arial" w:hAnsi="Arial" w:cs="Arial"/>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20001E">
            <w:pPr>
              <w:widowControl/>
              <w:spacing w:line="360" w:lineRule="auto"/>
              <w:contextualSpacing/>
              <w:jc w:val="center"/>
              <w:rPr>
                <w:rFonts w:ascii="Arial" w:hAnsi="Arial" w:cs="Arial"/>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B159EF">
            <w:pPr>
              <w:widowControl/>
              <w:spacing w:line="360" w:lineRule="auto"/>
              <w:contextualSpacing/>
              <w:jc w:val="center"/>
              <w:rPr>
                <w:rFonts w:ascii="Arial" w:hAnsi="Arial" w:cs="Arial"/>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D41A44">
            <w:pPr>
              <w:widowControl/>
              <w:spacing w:line="360" w:lineRule="auto"/>
              <w:contextualSpacing/>
              <w:jc w:val="center"/>
              <w:rPr>
                <w:rFonts w:ascii="Arial" w:hAnsi="Arial" w:cs="Arial"/>
                <w:kern w:val="0"/>
                <w:sz w:val="24"/>
              </w:rPr>
            </w:pPr>
          </w:p>
        </w:tc>
      </w:tr>
      <w:tr w14:paraId="37F6680E">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83A289">
            <w:pPr>
              <w:widowControl/>
              <w:spacing w:line="360" w:lineRule="auto"/>
              <w:contextualSpacing/>
              <w:jc w:val="center"/>
              <w:rPr>
                <w:rFonts w:ascii="Arial" w:hAnsi="Arial" w:cs="Arial"/>
                <w:kern w:val="0"/>
                <w:sz w:val="24"/>
              </w:rPr>
            </w:pPr>
            <w:r>
              <w:rPr>
                <w:rFonts w:ascii="Arial" w:hAnsi="Arial" w:cs="Arial"/>
                <w:kern w:val="0"/>
                <w:sz w:val="24"/>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8FF41E8">
            <w:pPr>
              <w:widowControl/>
              <w:spacing w:line="360" w:lineRule="auto"/>
              <w:contextualSpacing/>
              <w:jc w:val="center"/>
              <w:rPr>
                <w:rFonts w:ascii="Arial" w:hAnsi="Arial" w:cs="Arial"/>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90167B">
            <w:pPr>
              <w:widowControl/>
              <w:spacing w:line="360" w:lineRule="auto"/>
              <w:contextualSpacing/>
              <w:jc w:val="center"/>
              <w:rPr>
                <w:rFonts w:ascii="Arial" w:hAnsi="Arial" w:cs="Arial"/>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9BB452D">
            <w:pPr>
              <w:widowControl/>
              <w:spacing w:line="360" w:lineRule="auto"/>
              <w:contextualSpacing/>
              <w:jc w:val="center"/>
              <w:rPr>
                <w:rFonts w:ascii="Arial" w:hAnsi="Arial" w:cs="Arial"/>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5996AD">
            <w:pPr>
              <w:widowControl/>
              <w:spacing w:line="360" w:lineRule="auto"/>
              <w:contextualSpacing/>
              <w:jc w:val="center"/>
              <w:rPr>
                <w:rFonts w:ascii="Arial" w:hAnsi="Arial" w:cs="Arial"/>
                <w:kern w:val="0"/>
                <w:sz w:val="24"/>
              </w:rPr>
            </w:pPr>
          </w:p>
        </w:tc>
      </w:tr>
      <w:tr w14:paraId="1F3845AE">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302A8A6">
            <w:pPr>
              <w:widowControl/>
              <w:spacing w:line="360" w:lineRule="auto"/>
              <w:contextualSpacing/>
              <w:jc w:val="center"/>
              <w:rPr>
                <w:rFonts w:ascii="Arial" w:hAnsi="Arial" w:cs="Arial"/>
                <w:kern w:val="0"/>
                <w:sz w:val="24"/>
              </w:rPr>
            </w:pPr>
            <w:r>
              <w:rPr>
                <w:rFonts w:ascii="Arial" w:hAnsi="Arial" w:cs="Arial"/>
                <w:kern w:val="0"/>
                <w:sz w:val="24"/>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80C8754">
            <w:pPr>
              <w:widowControl/>
              <w:spacing w:line="360" w:lineRule="auto"/>
              <w:contextualSpacing/>
              <w:jc w:val="center"/>
              <w:rPr>
                <w:rFonts w:ascii="Arial" w:hAnsi="Arial" w:cs="Arial"/>
                <w:kern w:val="0"/>
                <w:sz w:val="24"/>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B05CA3">
            <w:pPr>
              <w:widowControl/>
              <w:spacing w:line="360" w:lineRule="auto"/>
              <w:contextualSpacing/>
              <w:jc w:val="center"/>
              <w:rPr>
                <w:rFonts w:ascii="Arial" w:hAnsi="Arial" w:cs="Arial"/>
                <w:kern w:val="0"/>
                <w:sz w:val="24"/>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FDEAFC3">
            <w:pPr>
              <w:widowControl/>
              <w:spacing w:line="360" w:lineRule="auto"/>
              <w:contextualSpacing/>
              <w:jc w:val="center"/>
              <w:rPr>
                <w:rFonts w:ascii="Arial" w:hAnsi="Arial" w:cs="Arial"/>
                <w:kern w:val="0"/>
                <w:sz w:val="24"/>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D097772">
            <w:pPr>
              <w:widowControl/>
              <w:spacing w:line="360" w:lineRule="auto"/>
              <w:contextualSpacing/>
              <w:jc w:val="center"/>
              <w:rPr>
                <w:rFonts w:ascii="Arial" w:hAnsi="Arial" w:cs="Arial"/>
                <w:kern w:val="0"/>
                <w:sz w:val="24"/>
              </w:rPr>
            </w:pPr>
          </w:p>
        </w:tc>
      </w:tr>
    </w:tbl>
    <w:p w14:paraId="4CD5E207">
      <w:pPr>
        <w:spacing w:line="360" w:lineRule="auto"/>
        <w:contextualSpacing/>
        <w:jc w:val="left"/>
        <w:rPr>
          <w:rFonts w:ascii="Arial" w:hAnsi="Arial" w:cs="Arial"/>
          <w:kern w:val="0"/>
          <w:sz w:val="24"/>
        </w:rPr>
      </w:pPr>
      <w:r>
        <w:rPr>
          <w:rFonts w:ascii="Arial" w:hAnsi="Arial" w:cs="Arial"/>
          <w:kern w:val="0"/>
          <w:sz w:val="24"/>
        </w:rPr>
        <w:t>注：</w:t>
      </w:r>
    </w:p>
    <w:p w14:paraId="444CFAC3">
      <w:pPr>
        <w:spacing w:line="360" w:lineRule="auto"/>
        <w:ind w:firstLine="480" w:firstLineChars="200"/>
        <w:contextualSpacing/>
        <w:jc w:val="left"/>
        <w:rPr>
          <w:rFonts w:ascii="Arial" w:hAnsi="Arial" w:cs="Arial"/>
          <w:kern w:val="0"/>
          <w:sz w:val="24"/>
        </w:rPr>
      </w:pPr>
      <w:r>
        <w:rPr>
          <w:rFonts w:ascii="Arial" w:hAnsi="Arial" w:cs="Arial"/>
          <w:kern w:val="0"/>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83CEAF9">
      <w:pPr>
        <w:spacing w:line="360" w:lineRule="auto"/>
        <w:ind w:firstLine="480" w:firstLineChars="200"/>
        <w:contextualSpacing/>
        <w:jc w:val="left"/>
        <w:rPr>
          <w:rFonts w:ascii="Arial" w:hAnsi="Arial" w:cs="Arial"/>
          <w:kern w:val="0"/>
          <w:sz w:val="24"/>
        </w:rPr>
      </w:pPr>
      <w:r>
        <w:rPr>
          <w:rFonts w:ascii="Arial" w:hAnsi="Arial" w:cs="Arial"/>
          <w:kern w:val="0"/>
          <w:sz w:val="24"/>
        </w:rPr>
        <w:t>2.本表所指的控股关系仅限于直接控股关系，不包括间接的控股关系。公司实际控制人与公司之间的关系不属于本表所指的直接控股关系。</w:t>
      </w:r>
    </w:p>
    <w:p w14:paraId="340F2E05">
      <w:pPr>
        <w:spacing w:line="360" w:lineRule="auto"/>
        <w:ind w:firstLine="480" w:firstLineChars="200"/>
        <w:contextualSpacing/>
        <w:jc w:val="left"/>
        <w:rPr>
          <w:rFonts w:ascii="Arial" w:hAnsi="Arial" w:cs="Arial"/>
          <w:kern w:val="0"/>
          <w:sz w:val="24"/>
        </w:rPr>
      </w:pPr>
      <w:r>
        <w:rPr>
          <w:rFonts w:ascii="Arial" w:hAnsi="Arial" w:cs="Arial"/>
          <w:kern w:val="0"/>
          <w:sz w:val="24"/>
        </w:rPr>
        <w:t>3.供应商不存在直接控股股东的，则填“无”。</w:t>
      </w:r>
    </w:p>
    <w:p w14:paraId="45654E4F">
      <w:pPr>
        <w:snapToGrid w:val="0"/>
        <w:spacing w:line="360" w:lineRule="auto"/>
        <w:jc w:val="left"/>
        <w:rPr>
          <w:rFonts w:ascii="Arial" w:hAnsi="Arial" w:cs="Arial"/>
          <w:sz w:val="24"/>
        </w:rPr>
      </w:pPr>
    </w:p>
    <w:p w14:paraId="5A79F408">
      <w:pPr>
        <w:autoSpaceDE w:val="0"/>
        <w:autoSpaceDN w:val="0"/>
        <w:spacing w:line="360" w:lineRule="auto"/>
        <w:ind w:left="4365" w:leftChars="1850" w:hanging="480" w:hangingChars="200"/>
        <w:rPr>
          <w:rFonts w:ascii="Arial" w:hAnsi="Arial" w:cs="Arial"/>
          <w:kern w:val="0"/>
          <w:sz w:val="24"/>
        </w:rPr>
      </w:pPr>
      <w:r>
        <w:rPr>
          <w:rFonts w:ascii="Arial" w:hAnsi="Arial" w:cs="Arial"/>
          <w:kern w:val="0"/>
          <w:sz w:val="24"/>
        </w:rPr>
        <w:t>供应商名称（</w:t>
      </w:r>
      <w:r>
        <w:rPr>
          <w:rFonts w:ascii="Arial" w:hAnsi="Arial" w:cs="Arial"/>
          <w:sz w:val="24"/>
        </w:rPr>
        <w:t>CA</w:t>
      </w:r>
      <w:r>
        <w:rPr>
          <w:rFonts w:ascii="Arial" w:hAnsi="Arial" w:cs="Arial"/>
          <w:kern w:val="0"/>
          <w:sz w:val="24"/>
        </w:rPr>
        <w:t>电子签章）：</w:t>
      </w:r>
    </w:p>
    <w:p w14:paraId="1393ADC0">
      <w:pPr>
        <w:autoSpaceDE w:val="0"/>
        <w:autoSpaceDN w:val="0"/>
        <w:spacing w:line="360" w:lineRule="auto"/>
        <w:ind w:firstLine="6120" w:firstLineChars="2550"/>
        <w:rPr>
          <w:rFonts w:ascii="Arial" w:hAnsi="Arial" w:cs="Arial"/>
          <w:b/>
          <w:bCs/>
          <w:sz w:val="24"/>
        </w:rPr>
      </w:pPr>
      <w:r>
        <w:rPr>
          <w:rFonts w:ascii="Arial" w:hAnsi="Arial" w:cs="Arial"/>
          <w:kern w:val="0"/>
          <w:sz w:val="24"/>
          <w:lang w:val="zh-CN"/>
        </w:rPr>
        <w:t xml:space="preserve">日期： </w:t>
      </w:r>
      <w:r>
        <w:rPr>
          <w:rFonts w:ascii="Arial" w:hAnsi="Arial" w:cs="Arial"/>
          <w:kern w:val="0"/>
          <w:sz w:val="24"/>
        </w:rPr>
        <w:t xml:space="preserve"> </w:t>
      </w:r>
      <w:r>
        <w:rPr>
          <w:rFonts w:ascii="Arial" w:hAnsi="Arial" w:cs="Arial"/>
          <w:kern w:val="0"/>
          <w:sz w:val="24"/>
          <w:lang w:val="zh-CN"/>
        </w:rPr>
        <w:t xml:space="preserve"> 年  月   日</w:t>
      </w:r>
    </w:p>
    <w:p w14:paraId="237D663C">
      <w:pPr>
        <w:snapToGrid w:val="0"/>
        <w:jc w:val="center"/>
        <w:rPr>
          <w:rFonts w:ascii="Arial" w:hAnsi="Arial" w:cs="Arial"/>
          <w:b/>
          <w:kern w:val="0"/>
          <w:sz w:val="30"/>
          <w:szCs w:val="30"/>
        </w:rPr>
      </w:pPr>
      <w:r>
        <w:rPr>
          <w:rFonts w:ascii="Arial" w:hAnsi="Arial" w:cs="Arial"/>
          <w:b/>
          <w:kern w:val="0"/>
          <w:sz w:val="30"/>
          <w:szCs w:val="30"/>
        </w:rPr>
        <w:br w:type="page"/>
      </w:r>
      <w:r>
        <w:rPr>
          <w:rFonts w:ascii="Arial" w:hAnsi="Arial" w:cs="Arial"/>
          <w:b/>
          <w:kern w:val="0"/>
          <w:sz w:val="30"/>
          <w:szCs w:val="30"/>
        </w:rPr>
        <w:t>供应商直接管理关系信息表</w:t>
      </w:r>
    </w:p>
    <w:p w14:paraId="1CC7CA37">
      <w:pPr>
        <w:snapToGrid w:val="0"/>
        <w:spacing w:line="360" w:lineRule="auto"/>
        <w:jc w:val="center"/>
        <w:rPr>
          <w:rFonts w:ascii="Arial" w:hAnsi="Arial" w:cs="Arial"/>
          <w:b/>
          <w:sz w:val="24"/>
        </w:rPr>
      </w:pPr>
    </w:p>
    <w:tbl>
      <w:tblPr>
        <w:tblStyle w:val="17"/>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44A59926">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A55F39">
            <w:pPr>
              <w:widowControl/>
              <w:spacing w:line="360" w:lineRule="auto"/>
              <w:contextualSpacing/>
              <w:jc w:val="center"/>
              <w:rPr>
                <w:rFonts w:ascii="Arial" w:hAnsi="Arial" w:cs="Arial"/>
                <w:b/>
                <w:bCs/>
                <w:kern w:val="0"/>
                <w:sz w:val="24"/>
              </w:rPr>
            </w:pPr>
            <w:r>
              <w:rPr>
                <w:rFonts w:ascii="Arial" w:hAnsi="Arial" w:cs="Arial"/>
                <w:b/>
                <w:bCs/>
                <w:kern w:val="0"/>
                <w:sz w:val="24"/>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42CCDF">
            <w:pPr>
              <w:widowControl/>
              <w:spacing w:line="360" w:lineRule="auto"/>
              <w:contextualSpacing/>
              <w:jc w:val="center"/>
              <w:rPr>
                <w:rFonts w:ascii="Arial" w:hAnsi="Arial" w:cs="Arial"/>
                <w:b/>
                <w:bCs/>
                <w:kern w:val="0"/>
                <w:sz w:val="24"/>
              </w:rPr>
            </w:pPr>
            <w:r>
              <w:rPr>
                <w:rFonts w:ascii="Arial" w:hAnsi="Arial" w:cs="Arial"/>
                <w:b/>
                <w:bCs/>
                <w:kern w:val="0"/>
                <w:sz w:val="24"/>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BA6592">
            <w:pPr>
              <w:widowControl/>
              <w:spacing w:line="360" w:lineRule="auto"/>
              <w:contextualSpacing/>
              <w:jc w:val="center"/>
              <w:rPr>
                <w:rFonts w:ascii="Arial" w:hAnsi="Arial" w:cs="Arial"/>
                <w:b/>
                <w:bCs/>
                <w:kern w:val="0"/>
                <w:sz w:val="24"/>
              </w:rPr>
            </w:pPr>
            <w:r>
              <w:rPr>
                <w:rFonts w:ascii="Arial" w:hAnsi="Arial" w:cs="Arial"/>
                <w:b/>
                <w:bCs/>
                <w:kern w:val="0"/>
                <w:sz w:val="24"/>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D774B8">
            <w:pPr>
              <w:widowControl/>
              <w:spacing w:line="360" w:lineRule="auto"/>
              <w:contextualSpacing/>
              <w:jc w:val="center"/>
              <w:rPr>
                <w:rFonts w:ascii="Arial" w:hAnsi="Arial" w:cs="Arial"/>
                <w:b/>
                <w:bCs/>
                <w:kern w:val="0"/>
                <w:sz w:val="24"/>
              </w:rPr>
            </w:pPr>
            <w:r>
              <w:rPr>
                <w:rFonts w:ascii="Arial" w:hAnsi="Arial" w:cs="Arial"/>
                <w:b/>
                <w:bCs/>
                <w:kern w:val="0"/>
                <w:sz w:val="24"/>
              </w:rPr>
              <w:t>备注</w:t>
            </w:r>
          </w:p>
        </w:tc>
      </w:tr>
      <w:tr w14:paraId="3BF90A86">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F12CA2">
            <w:pPr>
              <w:widowControl/>
              <w:spacing w:line="360" w:lineRule="auto"/>
              <w:contextualSpacing/>
              <w:jc w:val="center"/>
              <w:rPr>
                <w:rFonts w:ascii="Arial" w:hAnsi="Arial" w:cs="Arial"/>
                <w:kern w:val="0"/>
                <w:sz w:val="24"/>
              </w:rPr>
            </w:pPr>
            <w:r>
              <w:rPr>
                <w:rFonts w:ascii="Arial" w:hAnsi="Arial" w:cs="Arial"/>
                <w:kern w:val="0"/>
                <w:sz w:val="24"/>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4A16ED">
            <w:pPr>
              <w:widowControl/>
              <w:spacing w:line="360" w:lineRule="auto"/>
              <w:contextualSpacing/>
              <w:jc w:val="center"/>
              <w:rPr>
                <w:rFonts w:ascii="Arial" w:hAnsi="Arial" w:cs="Arial"/>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5E2DEE">
            <w:pPr>
              <w:widowControl/>
              <w:spacing w:line="360" w:lineRule="auto"/>
              <w:contextualSpacing/>
              <w:jc w:val="center"/>
              <w:rPr>
                <w:rFonts w:ascii="Arial" w:hAnsi="Arial" w:cs="Arial"/>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B14E745">
            <w:pPr>
              <w:widowControl/>
              <w:spacing w:line="360" w:lineRule="auto"/>
              <w:contextualSpacing/>
              <w:jc w:val="center"/>
              <w:rPr>
                <w:rFonts w:ascii="Arial" w:hAnsi="Arial" w:cs="Arial"/>
                <w:kern w:val="0"/>
                <w:sz w:val="24"/>
              </w:rPr>
            </w:pPr>
          </w:p>
        </w:tc>
      </w:tr>
      <w:tr w14:paraId="167C887F">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1582F5">
            <w:pPr>
              <w:widowControl/>
              <w:spacing w:line="360" w:lineRule="auto"/>
              <w:contextualSpacing/>
              <w:jc w:val="center"/>
              <w:rPr>
                <w:rFonts w:ascii="Arial" w:hAnsi="Arial" w:cs="Arial"/>
                <w:kern w:val="0"/>
                <w:sz w:val="24"/>
              </w:rPr>
            </w:pPr>
            <w:r>
              <w:rPr>
                <w:rFonts w:ascii="Arial" w:hAnsi="Arial" w:cs="Arial"/>
                <w:kern w:val="0"/>
                <w:sz w:val="24"/>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04DC766">
            <w:pPr>
              <w:widowControl/>
              <w:spacing w:line="360" w:lineRule="auto"/>
              <w:contextualSpacing/>
              <w:jc w:val="center"/>
              <w:rPr>
                <w:rFonts w:ascii="Arial" w:hAnsi="Arial" w:cs="Arial"/>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E75818">
            <w:pPr>
              <w:widowControl/>
              <w:spacing w:line="360" w:lineRule="auto"/>
              <w:contextualSpacing/>
              <w:jc w:val="center"/>
              <w:rPr>
                <w:rFonts w:ascii="Arial" w:hAnsi="Arial" w:cs="Arial"/>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02B4180">
            <w:pPr>
              <w:widowControl/>
              <w:spacing w:line="360" w:lineRule="auto"/>
              <w:contextualSpacing/>
              <w:jc w:val="center"/>
              <w:rPr>
                <w:rFonts w:ascii="Arial" w:hAnsi="Arial" w:cs="Arial"/>
                <w:kern w:val="0"/>
                <w:sz w:val="24"/>
              </w:rPr>
            </w:pPr>
          </w:p>
        </w:tc>
      </w:tr>
      <w:tr w14:paraId="5D162E0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8D3511">
            <w:pPr>
              <w:widowControl/>
              <w:spacing w:line="360" w:lineRule="auto"/>
              <w:contextualSpacing/>
              <w:jc w:val="center"/>
              <w:rPr>
                <w:rFonts w:ascii="Arial" w:hAnsi="Arial" w:cs="Arial"/>
                <w:kern w:val="0"/>
                <w:sz w:val="24"/>
              </w:rPr>
            </w:pPr>
            <w:r>
              <w:rPr>
                <w:rFonts w:ascii="Arial" w:hAnsi="Arial" w:cs="Arial"/>
                <w:kern w:val="0"/>
                <w:sz w:val="24"/>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399AF4">
            <w:pPr>
              <w:widowControl/>
              <w:spacing w:line="360" w:lineRule="auto"/>
              <w:contextualSpacing/>
              <w:jc w:val="center"/>
              <w:rPr>
                <w:rFonts w:ascii="Arial" w:hAnsi="Arial" w:cs="Arial"/>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2FA4AF2">
            <w:pPr>
              <w:widowControl/>
              <w:spacing w:line="360" w:lineRule="auto"/>
              <w:contextualSpacing/>
              <w:jc w:val="center"/>
              <w:rPr>
                <w:rFonts w:ascii="Arial" w:hAnsi="Arial" w:cs="Arial"/>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1A0A9F">
            <w:pPr>
              <w:widowControl/>
              <w:spacing w:line="360" w:lineRule="auto"/>
              <w:contextualSpacing/>
              <w:jc w:val="center"/>
              <w:rPr>
                <w:rFonts w:ascii="Arial" w:hAnsi="Arial" w:cs="Arial"/>
                <w:kern w:val="0"/>
                <w:sz w:val="24"/>
              </w:rPr>
            </w:pPr>
          </w:p>
        </w:tc>
      </w:tr>
      <w:tr w14:paraId="6F2FA87D">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F0D28E">
            <w:pPr>
              <w:widowControl/>
              <w:spacing w:line="360" w:lineRule="auto"/>
              <w:contextualSpacing/>
              <w:jc w:val="center"/>
              <w:rPr>
                <w:rFonts w:ascii="Arial" w:hAnsi="Arial" w:cs="Arial"/>
                <w:kern w:val="0"/>
                <w:sz w:val="24"/>
              </w:rPr>
            </w:pPr>
            <w:r>
              <w:rPr>
                <w:rFonts w:ascii="Arial" w:hAnsi="Arial" w:cs="Arial"/>
                <w:kern w:val="0"/>
                <w:sz w:val="24"/>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CA6FC5">
            <w:pPr>
              <w:widowControl/>
              <w:spacing w:line="360" w:lineRule="auto"/>
              <w:contextualSpacing/>
              <w:jc w:val="center"/>
              <w:rPr>
                <w:rFonts w:ascii="Arial" w:hAnsi="Arial" w:cs="Arial"/>
                <w:kern w:val="0"/>
                <w:sz w:val="24"/>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2EBEC5">
            <w:pPr>
              <w:widowControl/>
              <w:spacing w:line="360" w:lineRule="auto"/>
              <w:contextualSpacing/>
              <w:jc w:val="center"/>
              <w:rPr>
                <w:rFonts w:ascii="Arial" w:hAnsi="Arial" w:cs="Arial"/>
                <w:kern w:val="0"/>
                <w:sz w:val="24"/>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595C1E">
            <w:pPr>
              <w:widowControl/>
              <w:spacing w:line="360" w:lineRule="auto"/>
              <w:contextualSpacing/>
              <w:jc w:val="center"/>
              <w:rPr>
                <w:rFonts w:ascii="Arial" w:hAnsi="Arial" w:cs="Arial"/>
                <w:kern w:val="0"/>
                <w:sz w:val="24"/>
              </w:rPr>
            </w:pPr>
          </w:p>
        </w:tc>
      </w:tr>
    </w:tbl>
    <w:p w14:paraId="125FA917">
      <w:pPr>
        <w:spacing w:line="360" w:lineRule="auto"/>
        <w:ind w:firstLine="480" w:firstLineChars="200"/>
        <w:contextualSpacing/>
        <w:jc w:val="left"/>
        <w:rPr>
          <w:rFonts w:ascii="Arial" w:hAnsi="Arial" w:cs="Arial"/>
          <w:kern w:val="0"/>
          <w:sz w:val="24"/>
        </w:rPr>
      </w:pPr>
      <w:r>
        <w:rPr>
          <w:rFonts w:ascii="Arial" w:hAnsi="Arial" w:cs="Arial"/>
          <w:kern w:val="0"/>
          <w:sz w:val="24"/>
        </w:rPr>
        <w:t>注：</w:t>
      </w:r>
    </w:p>
    <w:p w14:paraId="7AE69D8F">
      <w:pPr>
        <w:spacing w:line="360" w:lineRule="auto"/>
        <w:ind w:firstLine="480" w:firstLineChars="200"/>
        <w:contextualSpacing/>
        <w:jc w:val="left"/>
        <w:rPr>
          <w:rFonts w:ascii="Arial" w:hAnsi="Arial" w:cs="Arial"/>
          <w:kern w:val="0"/>
          <w:sz w:val="24"/>
        </w:rPr>
      </w:pPr>
      <w:r>
        <w:rPr>
          <w:rFonts w:ascii="Arial" w:hAnsi="Arial" w:cs="Arial"/>
          <w:kern w:val="0"/>
          <w:sz w:val="24"/>
        </w:rPr>
        <w:t>1.管理关系：是指不具有出资持股关系的其他单位之间存在的管理与被管理关系，如一些上下级关系的事业单位和团体组织。</w:t>
      </w:r>
    </w:p>
    <w:p w14:paraId="7C377EB7">
      <w:pPr>
        <w:spacing w:line="360" w:lineRule="auto"/>
        <w:ind w:firstLine="480" w:firstLineChars="200"/>
        <w:contextualSpacing/>
        <w:jc w:val="left"/>
        <w:rPr>
          <w:rFonts w:ascii="Arial" w:hAnsi="Arial" w:cs="Arial"/>
          <w:kern w:val="0"/>
          <w:sz w:val="24"/>
        </w:rPr>
      </w:pPr>
      <w:r>
        <w:rPr>
          <w:rFonts w:ascii="Arial" w:hAnsi="Arial" w:cs="Arial"/>
          <w:kern w:val="0"/>
          <w:sz w:val="24"/>
        </w:rPr>
        <w:t>2.本表所指的管理关系仅限于直接管理关系，不包括间接的管理关系。</w:t>
      </w:r>
    </w:p>
    <w:p w14:paraId="780537C6">
      <w:pPr>
        <w:spacing w:line="360" w:lineRule="auto"/>
        <w:ind w:firstLine="480" w:firstLineChars="200"/>
        <w:contextualSpacing/>
        <w:jc w:val="left"/>
        <w:rPr>
          <w:rFonts w:ascii="Arial" w:hAnsi="Arial" w:cs="Arial"/>
          <w:kern w:val="0"/>
          <w:sz w:val="24"/>
        </w:rPr>
      </w:pPr>
      <w:r>
        <w:rPr>
          <w:rFonts w:ascii="Arial" w:hAnsi="Arial" w:cs="Arial"/>
          <w:kern w:val="0"/>
          <w:sz w:val="24"/>
        </w:rPr>
        <w:t>3.供应商不存在直接管理关系的，则填“无”。</w:t>
      </w:r>
    </w:p>
    <w:p w14:paraId="7B39AC86">
      <w:pPr>
        <w:spacing w:line="360" w:lineRule="auto"/>
        <w:contextualSpacing/>
        <w:jc w:val="left"/>
        <w:rPr>
          <w:rFonts w:ascii="Arial" w:hAnsi="Arial" w:cs="Arial"/>
          <w:sz w:val="24"/>
        </w:rPr>
      </w:pPr>
    </w:p>
    <w:p w14:paraId="6E9C8BC9">
      <w:pPr>
        <w:snapToGrid w:val="0"/>
        <w:spacing w:line="360" w:lineRule="auto"/>
        <w:jc w:val="left"/>
        <w:rPr>
          <w:rFonts w:ascii="Arial" w:hAnsi="Arial" w:cs="Arial"/>
          <w:sz w:val="24"/>
        </w:rPr>
      </w:pPr>
    </w:p>
    <w:p w14:paraId="06AB88A5">
      <w:pPr>
        <w:autoSpaceDE w:val="0"/>
        <w:autoSpaceDN w:val="0"/>
        <w:spacing w:line="360" w:lineRule="auto"/>
        <w:ind w:left="4365" w:leftChars="1850" w:hanging="480" w:hangingChars="200"/>
        <w:rPr>
          <w:rFonts w:ascii="Arial" w:hAnsi="Arial" w:cs="Arial"/>
          <w:kern w:val="0"/>
          <w:sz w:val="24"/>
        </w:rPr>
      </w:pPr>
      <w:r>
        <w:rPr>
          <w:rFonts w:ascii="Arial" w:hAnsi="Arial" w:cs="Arial"/>
          <w:kern w:val="0"/>
          <w:sz w:val="24"/>
        </w:rPr>
        <w:t>供应商名称（</w:t>
      </w:r>
      <w:r>
        <w:rPr>
          <w:rFonts w:ascii="Arial" w:hAnsi="Arial" w:cs="Arial"/>
          <w:sz w:val="24"/>
        </w:rPr>
        <w:t>CA</w:t>
      </w:r>
      <w:r>
        <w:rPr>
          <w:rFonts w:ascii="Arial" w:hAnsi="Arial" w:cs="Arial"/>
          <w:kern w:val="0"/>
          <w:sz w:val="24"/>
        </w:rPr>
        <w:t>电子签章）：</w:t>
      </w:r>
    </w:p>
    <w:p w14:paraId="7DA5E7B2">
      <w:pPr>
        <w:tabs>
          <w:tab w:val="left" w:pos="3870"/>
          <w:tab w:val="left" w:pos="4085"/>
        </w:tabs>
        <w:snapToGrid w:val="0"/>
        <w:spacing w:line="420" w:lineRule="exact"/>
        <w:ind w:firstLine="4800" w:firstLineChars="2000"/>
        <w:jc w:val="left"/>
        <w:rPr>
          <w:rFonts w:ascii="Arial" w:hAnsi="Arial" w:cs="Arial"/>
          <w:kern w:val="0"/>
          <w:sz w:val="24"/>
          <w:lang w:val="zh-CN"/>
        </w:rPr>
      </w:pPr>
      <w:r>
        <w:rPr>
          <w:rFonts w:ascii="Arial" w:hAnsi="Arial" w:cs="Arial"/>
          <w:kern w:val="0"/>
          <w:sz w:val="24"/>
          <w:lang w:val="zh-CN"/>
        </w:rPr>
        <w:t xml:space="preserve">日期： </w:t>
      </w:r>
      <w:r>
        <w:rPr>
          <w:rFonts w:ascii="Arial" w:hAnsi="Arial" w:cs="Arial"/>
          <w:kern w:val="0"/>
          <w:sz w:val="24"/>
        </w:rPr>
        <w:t xml:space="preserve"> </w:t>
      </w:r>
      <w:r>
        <w:rPr>
          <w:rFonts w:ascii="Arial" w:hAnsi="Arial" w:cs="Arial"/>
          <w:kern w:val="0"/>
          <w:sz w:val="24"/>
          <w:lang w:val="zh-CN"/>
        </w:rPr>
        <w:t xml:space="preserve"> 年  月   日</w:t>
      </w:r>
    </w:p>
    <w:p w14:paraId="60B69BFC">
      <w:pPr>
        <w:tabs>
          <w:tab w:val="left" w:pos="3870"/>
          <w:tab w:val="left" w:pos="4085"/>
        </w:tabs>
        <w:snapToGrid w:val="0"/>
        <w:spacing w:line="420" w:lineRule="exact"/>
        <w:jc w:val="left"/>
        <w:rPr>
          <w:rFonts w:hint="eastAsia" w:ascii="宋体" w:hAnsi="宋体" w:cs="宋体"/>
          <w:b/>
          <w:bCs/>
          <w:szCs w:val="21"/>
        </w:rPr>
      </w:pPr>
    </w:p>
    <w:p w14:paraId="588B0A5B">
      <w:pPr>
        <w:tabs>
          <w:tab w:val="left" w:pos="3870"/>
          <w:tab w:val="left" w:pos="4085"/>
        </w:tabs>
        <w:snapToGrid w:val="0"/>
        <w:spacing w:line="420" w:lineRule="exact"/>
        <w:ind w:firstLine="4216" w:firstLineChars="2000"/>
        <w:jc w:val="left"/>
        <w:rPr>
          <w:rFonts w:hint="eastAsia" w:ascii="宋体" w:hAnsi="宋体" w:cs="宋体"/>
          <w:b/>
          <w:bCs/>
          <w:szCs w:val="21"/>
        </w:rPr>
      </w:pPr>
    </w:p>
    <w:p w14:paraId="69192FE7">
      <w:pPr>
        <w:tabs>
          <w:tab w:val="left" w:pos="3870"/>
          <w:tab w:val="left" w:pos="4085"/>
        </w:tabs>
        <w:snapToGrid w:val="0"/>
        <w:spacing w:line="420" w:lineRule="exact"/>
        <w:ind w:firstLine="420" w:firstLineChars="200"/>
        <w:jc w:val="left"/>
        <w:rPr>
          <w:rFonts w:ascii="Arial" w:hAnsi="Arial" w:cs="Arial"/>
          <w:b/>
          <w:bCs/>
          <w:szCs w:val="21"/>
        </w:rPr>
      </w:pPr>
      <w:r>
        <w:rPr>
          <w:rFonts w:hint="eastAsia" w:ascii="宋体" w:hAnsi="宋体" w:cs="宋体"/>
          <w:szCs w:val="21"/>
        </w:rPr>
        <w:t>（8）</w:t>
      </w:r>
      <w:r>
        <w:rPr>
          <w:rFonts w:hint="eastAsia" w:ascii="Arial" w:hAnsi="Arial" w:cs="Arial"/>
          <w:b/>
          <w:bCs/>
          <w:szCs w:val="21"/>
        </w:rPr>
        <w:t>本项目供应商要求为小微企业，必须提供以下证明材料之一：</w:t>
      </w:r>
    </w:p>
    <w:p w14:paraId="064FB1E0">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①中小企业声明函；</w:t>
      </w:r>
    </w:p>
    <w:p w14:paraId="3A6782A4">
      <w:pPr>
        <w:widowControl/>
        <w:spacing w:beforeAutospacing="1" w:afterAutospacing="1" w:line="435" w:lineRule="atLeast"/>
        <w:jc w:val="center"/>
        <w:rPr>
          <w:rFonts w:hint="eastAsia" w:ascii="仿宋" w:hAnsi="仿宋" w:eastAsia="仿宋" w:cs="仿宋"/>
          <w:szCs w:val="21"/>
        </w:rPr>
      </w:pPr>
      <w:r>
        <w:rPr>
          <w:rFonts w:hint="eastAsia" w:ascii="宋体" w:hAnsi="宋体" w:cs="宋体"/>
          <w:sz w:val="24"/>
        </w:rPr>
        <w:t>①</w:t>
      </w:r>
      <w:r>
        <w:rPr>
          <w:rStyle w:val="20"/>
          <w:rFonts w:hint="eastAsia" w:ascii="仿宋" w:hAnsi="仿宋" w:eastAsia="仿宋" w:cs="仿宋"/>
          <w:kern w:val="0"/>
          <w:sz w:val="28"/>
          <w:szCs w:val="28"/>
          <w:shd w:val="clear" w:color="auto" w:fill="FFFFFF"/>
          <w:lang w:bidi="ar"/>
        </w:rPr>
        <w:t>中小企业声明函（货物）</w:t>
      </w:r>
    </w:p>
    <w:p w14:paraId="300BA41F">
      <w:pPr>
        <w:widowControl/>
        <w:spacing w:beforeAutospacing="1" w:afterAutospacing="1" w:line="435" w:lineRule="atLeast"/>
        <w:ind w:firstLine="480"/>
        <w:jc w:val="left"/>
        <w:rPr>
          <w:rFonts w:hint="eastAsia" w:ascii="仿宋" w:hAnsi="仿宋" w:eastAsia="仿宋" w:cs="仿宋"/>
          <w:szCs w:val="21"/>
        </w:rPr>
      </w:pPr>
      <w:r>
        <w:rPr>
          <w:rFonts w:hint="eastAsia" w:ascii="仿宋" w:hAnsi="仿宋" w:eastAsia="仿宋" w:cs="仿宋"/>
          <w:kern w:val="0"/>
          <w:sz w:val="24"/>
          <w:shd w:val="clear" w:color="auto" w:fill="FFFFFF"/>
          <w:lang w:bidi="ar"/>
        </w:rPr>
        <w:t>本公司（联合体）郑重声明，根据《政府采购促进中小企业发展管理办法》（财库﹝2020﹞46 号）的规定，本公司（联合体）参加</w:t>
      </w:r>
      <w:r>
        <w:rPr>
          <w:rFonts w:hint="eastAsia" w:ascii="仿宋" w:hAnsi="仿宋" w:eastAsia="仿宋" w:cs="仿宋"/>
          <w:kern w:val="0"/>
          <w:sz w:val="24"/>
          <w:u w:val="single"/>
          <w:shd w:val="clear" w:color="auto" w:fill="FFFFFF"/>
          <w:lang w:bidi="ar"/>
        </w:rPr>
        <w:t>     （单位名称）</w:t>
      </w:r>
      <w:r>
        <w:rPr>
          <w:rFonts w:hint="eastAsia" w:ascii="仿宋" w:hAnsi="仿宋" w:eastAsia="仿宋" w:cs="仿宋"/>
          <w:kern w:val="0"/>
          <w:sz w:val="24"/>
          <w:shd w:val="clear" w:color="auto" w:fill="FFFFFF"/>
          <w:lang w:bidi="ar"/>
        </w:rPr>
        <w:t>的</w:t>
      </w:r>
      <w:r>
        <w:rPr>
          <w:rFonts w:hint="eastAsia" w:ascii="仿宋" w:hAnsi="仿宋" w:eastAsia="仿宋" w:cs="仿宋"/>
          <w:kern w:val="0"/>
          <w:sz w:val="24"/>
          <w:u w:val="single"/>
          <w:shd w:val="clear" w:color="auto" w:fill="FFFFFF"/>
          <w:lang w:bidi="ar"/>
        </w:rPr>
        <w:t>    （项目名称）</w:t>
      </w:r>
      <w:r>
        <w:rPr>
          <w:rFonts w:hint="eastAsia" w:ascii="仿宋" w:hAnsi="仿宋" w:eastAsia="仿宋" w:cs="仿宋"/>
          <w:kern w:val="0"/>
          <w:sz w:val="24"/>
          <w:shd w:val="clear" w:color="auto" w:fill="FFFFFF"/>
          <w:lang w:bidi="ar"/>
        </w:rPr>
        <w:t>采购活动，提供的货物全部由符合政策要求的中小企业制造。相关企业（含联合体中的中小企业、签订分包意向协议的中小企业）的具体情况如下：</w:t>
      </w:r>
    </w:p>
    <w:p w14:paraId="49A40B3C">
      <w:pPr>
        <w:widowControl/>
        <w:spacing w:beforeAutospacing="1" w:afterAutospacing="1" w:line="435" w:lineRule="atLeast"/>
        <w:ind w:firstLine="480"/>
        <w:jc w:val="left"/>
        <w:rPr>
          <w:rFonts w:hint="eastAsia" w:ascii="仿宋" w:hAnsi="仿宋" w:eastAsia="仿宋" w:cs="仿宋"/>
          <w:szCs w:val="21"/>
        </w:rPr>
      </w:pPr>
      <w:r>
        <w:rPr>
          <w:rFonts w:hint="eastAsia" w:ascii="仿宋" w:hAnsi="仿宋" w:eastAsia="仿宋" w:cs="仿宋"/>
          <w:kern w:val="0"/>
          <w:sz w:val="24"/>
          <w:shd w:val="clear" w:color="auto" w:fill="FFFFFF"/>
          <w:lang w:bidi="ar"/>
        </w:rPr>
        <w:t>1.</w:t>
      </w:r>
      <w:r>
        <w:rPr>
          <w:rFonts w:hint="eastAsia" w:ascii="仿宋" w:hAnsi="仿宋" w:eastAsia="仿宋" w:cs="仿宋"/>
          <w:kern w:val="0"/>
          <w:sz w:val="24"/>
          <w:u w:val="single"/>
          <w:shd w:val="clear" w:color="auto" w:fill="FFFFFF"/>
          <w:lang w:bidi="ar"/>
        </w:rPr>
        <w:t>     （标的名称）</w:t>
      </w:r>
      <w:r>
        <w:rPr>
          <w:rFonts w:hint="eastAsia" w:ascii="仿宋" w:hAnsi="仿宋" w:eastAsia="仿宋" w:cs="仿宋"/>
          <w:kern w:val="0"/>
          <w:sz w:val="24"/>
          <w:shd w:val="clear" w:color="auto" w:fill="FFFFFF"/>
          <w:lang w:bidi="ar"/>
        </w:rPr>
        <w:t>，属于</w:t>
      </w:r>
      <w:r>
        <w:rPr>
          <w:rFonts w:hint="eastAsia" w:ascii="仿宋" w:hAnsi="仿宋" w:eastAsia="仿宋" w:cs="仿宋"/>
          <w:kern w:val="0"/>
          <w:sz w:val="24"/>
          <w:u w:val="single"/>
          <w:shd w:val="clear" w:color="auto" w:fill="FFFFFF"/>
          <w:lang w:bidi="ar"/>
        </w:rPr>
        <w:t>     （采购文件中明确的所属行业）</w:t>
      </w:r>
      <w:r>
        <w:rPr>
          <w:rFonts w:hint="eastAsia" w:ascii="仿宋" w:hAnsi="仿宋" w:eastAsia="仿宋" w:cs="仿宋"/>
          <w:kern w:val="0"/>
          <w:sz w:val="24"/>
          <w:shd w:val="clear" w:color="auto" w:fill="FFFFFF"/>
          <w:lang w:bidi="ar"/>
        </w:rPr>
        <w:t>行业；制造商为</w:t>
      </w:r>
      <w:r>
        <w:rPr>
          <w:rFonts w:hint="eastAsia" w:ascii="仿宋" w:hAnsi="仿宋" w:eastAsia="仿宋" w:cs="仿宋"/>
          <w:kern w:val="0"/>
          <w:sz w:val="24"/>
          <w:u w:val="single"/>
          <w:shd w:val="clear" w:color="auto" w:fill="FFFFFF"/>
          <w:lang w:bidi="ar"/>
        </w:rPr>
        <w:t>       （企业名称）</w:t>
      </w:r>
      <w:r>
        <w:rPr>
          <w:rFonts w:hint="eastAsia" w:ascii="仿宋" w:hAnsi="仿宋" w:eastAsia="仿宋" w:cs="仿宋"/>
          <w:kern w:val="0"/>
          <w:sz w:val="24"/>
          <w:shd w:val="clear" w:color="auto" w:fill="FFFFFF"/>
          <w:lang w:bidi="ar"/>
        </w:rPr>
        <w:t>，从业人员</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人，营业收入为</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万元，资产总额为</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万元，属于</w:t>
      </w:r>
      <w:r>
        <w:rPr>
          <w:rFonts w:hint="eastAsia" w:ascii="仿宋" w:hAnsi="仿宋" w:eastAsia="仿宋" w:cs="仿宋"/>
          <w:kern w:val="0"/>
          <w:sz w:val="24"/>
          <w:u w:val="single"/>
          <w:shd w:val="clear" w:color="auto" w:fill="FFFFFF"/>
          <w:lang w:bidi="ar"/>
        </w:rPr>
        <w:t>     （中型企业、小型企业、微型企业）</w:t>
      </w:r>
      <w:r>
        <w:rPr>
          <w:rFonts w:hint="eastAsia" w:ascii="仿宋" w:hAnsi="仿宋" w:eastAsia="仿宋" w:cs="仿宋"/>
          <w:kern w:val="0"/>
          <w:sz w:val="24"/>
          <w:shd w:val="clear" w:color="auto" w:fill="FFFFFF"/>
          <w:lang w:bidi="ar"/>
        </w:rPr>
        <w:t>；</w:t>
      </w:r>
    </w:p>
    <w:p w14:paraId="354FCBB3">
      <w:pPr>
        <w:widowControl/>
        <w:spacing w:beforeAutospacing="1" w:afterAutospacing="1" w:line="435" w:lineRule="atLeast"/>
        <w:ind w:firstLine="480"/>
        <w:jc w:val="left"/>
        <w:rPr>
          <w:rFonts w:hint="eastAsia" w:ascii="仿宋" w:hAnsi="仿宋" w:eastAsia="仿宋" w:cs="仿宋"/>
          <w:szCs w:val="21"/>
        </w:rPr>
      </w:pPr>
      <w:r>
        <w:rPr>
          <w:rFonts w:hint="eastAsia" w:ascii="仿宋" w:hAnsi="仿宋" w:eastAsia="仿宋" w:cs="仿宋"/>
          <w:kern w:val="0"/>
          <w:sz w:val="24"/>
          <w:shd w:val="clear" w:color="auto" w:fill="FFFFFF"/>
          <w:lang w:bidi="ar"/>
        </w:rPr>
        <w:t>2.</w:t>
      </w:r>
      <w:r>
        <w:rPr>
          <w:rFonts w:hint="eastAsia" w:ascii="仿宋" w:hAnsi="仿宋" w:eastAsia="仿宋" w:cs="仿宋"/>
          <w:kern w:val="0"/>
          <w:sz w:val="24"/>
          <w:u w:val="single"/>
          <w:shd w:val="clear" w:color="auto" w:fill="FFFFFF"/>
          <w:lang w:bidi="ar"/>
        </w:rPr>
        <w:t>     （标的名称）</w:t>
      </w:r>
      <w:r>
        <w:rPr>
          <w:rFonts w:hint="eastAsia" w:ascii="仿宋" w:hAnsi="仿宋" w:eastAsia="仿宋" w:cs="仿宋"/>
          <w:kern w:val="0"/>
          <w:sz w:val="24"/>
          <w:shd w:val="clear" w:color="auto" w:fill="FFFFFF"/>
          <w:lang w:bidi="ar"/>
        </w:rPr>
        <w:t>，属于</w:t>
      </w:r>
      <w:r>
        <w:rPr>
          <w:rFonts w:hint="eastAsia" w:ascii="仿宋" w:hAnsi="仿宋" w:eastAsia="仿宋" w:cs="仿宋"/>
          <w:kern w:val="0"/>
          <w:sz w:val="24"/>
          <w:u w:val="single"/>
          <w:shd w:val="clear" w:color="auto" w:fill="FFFFFF"/>
          <w:lang w:bidi="ar"/>
        </w:rPr>
        <w:t>     （采购文件中明确的所属行业）</w:t>
      </w:r>
      <w:r>
        <w:rPr>
          <w:rFonts w:hint="eastAsia" w:ascii="仿宋" w:hAnsi="仿宋" w:eastAsia="仿宋" w:cs="仿宋"/>
          <w:kern w:val="0"/>
          <w:sz w:val="24"/>
          <w:shd w:val="clear" w:color="auto" w:fill="FFFFFF"/>
          <w:lang w:bidi="ar"/>
        </w:rPr>
        <w:t>行业；制造商为</w:t>
      </w:r>
      <w:r>
        <w:rPr>
          <w:rFonts w:hint="eastAsia" w:ascii="仿宋" w:hAnsi="仿宋" w:eastAsia="仿宋" w:cs="仿宋"/>
          <w:kern w:val="0"/>
          <w:sz w:val="24"/>
          <w:u w:val="single"/>
          <w:shd w:val="clear" w:color="auto" w:fill="FFFFFF"/>
          <w:lang w:bidi="ar"/>
        </w:rPr>
        <w:t>       （企业名称）</w:t>
      </w:r>
      <w:r>
        <w:rPr>
          <w:rFonts w:hint="eastAsia" w:ascii="仿宋" w:hAnsi="仿宋" w:eastAsia="仿宋" w:cs="仿宋"/>
          <w:kern w:val="0"/>
          <w:sz w:val="24"/>
          <w:shd w:val="clear" w:color="auto" w:fill="FFFFFF"/>
          <w:lang w:bidi="ar"/>
        </w:rPr>
        <w:t>，从业人员</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人，营业收入为</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万元，资产总额为</w:t>
      </w:r>
      <w:r>
        <w:rPr>
          <w:rFonts w:hint="eastAsia" w:ascii="仿宋" w:hAnsi="仿宋" w:eastAsia="仿宋" w:cs="仿宋"/>
          <w:kern w:val="0"/>
          <w:sz w:val="24"/>
          <w:u w:val="single"/>
          <w:shd w:val="clear" w:color="auto" w:fill="FFFFFF"/>
          <w:lang w:bidi="ar"/>
        </w:rPr>
        <w:t>   </w:t>
      </w:r>
      <w:r>
        <w:rPr>
          <w:rFonts w:hint="eastAsia" w:ascii="仿宋" w:hAnsi="仿宋" w:eastAsia="仿宋" w:cs="仿宋"/>
          <w:kern w:val="0"/>
          <w:sz w:val="24"/>
          <w:shd w:val="clear" w:color="auto" w:fill="FFFFFF"/>
          <w:lang w:bidi="ar"/>
        </w:rPr>
        <w:t>万元，属于</w:t>
      </w:r>
      <w:r>
        <w:rPr>
          <w:rFonts w:hint="eastAsia" w:ascii="仿宋" w:hAnsi="仿宋" w:eastAsia="仿宋" w:cs="仿宋"/>
          <w:kern w:val="0"/>
          <w:sz w:val="24"/>
          <w:u w:val="single"/>
          <w:shd w:val="clear" w:color="auto" w:fill="FFFFFF"/>
          <w:lang w:bidi="ar"/>
        </w:rPr>
        <w:t>     （中型企业、小型企业、微型企业）</w:t>
      </w:r>
      <w:r>
        <w:rPr>
          <w:rFonts w:hint="eastAsia" w:ascii="仿宋" w:hAnsi="仿宋" w:eastAsia="仿宋" w:cs="仿宋"/>
          <w:kern w:val="0"/>
          <w:sz w:val="24"/>
          <w:shd w:val="clear" w:color="auto" w:fill="FFFFFF"/>
          <w:lang w:bidi="ar"/>
        </w:rPr>
        <w:t>；</w:t>
      </w:r>
    </w:p>
    <w:p w14:paraId="51464FC4">
      <w:pPr>
        <w:widowControl/>
        <w:spacing w:beforeAutospacing="1" w:afterAutospacing="1" w:line="435" w:lineRule="atLeast"/>
        <w:ind w:firstLine="480"/>
        <w:jc w:val="left"/>
        <w:rPr>
          <w:rFonts w:hint="eastAsia" w:ascii="仿宋" w:hAnsi="仿宋" w:eastAsia="仿宋" w:cs="仿宋"/>
          <w:szCs w:val="21"/>
        </w:rPr>
      </w:pPr>
      <w:r>
        <w:rPr>
          <w:rFonts w:hint="eastAsia" w:ascii="仿宋" w:hAnsi="仿宋" w:eastAsia="仿宋" w:cs="仿宋"/>
          <w:kern w:val="0"/>
          <w:sz w:val="24"/>
          <w:shd w:val="clear" w:color="auto" w:fill="FFFFFF"/>
          <w:lang w:bidi="ar"/>
        </w:rPr>
        <w:t>……</w:t>
      </w:r>
    </w:p>
    <w:p w14:paraId="116F05D2">
      <w:pPr>
        <w:widowControl/>
        <w:spacing w:beforeAutospacing="1" w:afterAutospacing="1" w:line="435" w:lineRule="atLeast"/>
        <w:ind w:firstLine="480"/>
        <w:jc w:val="left"/>
        <w:rPr>
          <w:rFonts w:hint="eastAsia" w:ascii="仿宋" w:hAnsi="仿宋" w:eastAsia="仿宋" w:cs="仿宋"/>
          <w:szCs w:val="21"/>
        </w:rPr>
      </w:pPr>
      <w:r>
        <w:rPr>
          <w:rFonts w:hint="eastAsia" w:ascii="仿宋" w:hAnsi="仿宋" w:eastAsia="仿宋" w:cs="仿宋"/>
          <w:kern w:val="0"/>
          <w:sz w:val="24"/>
          <w:shd w:val="clear" w:color="auto" w:fill="FFFFFF"/>
          <w:lang w:bidi="ar"/>
        </w:rPr>
        <w:t>以上企业，不属于大企业的分支机构，不存在控股股东为大企业的情形，也不存在与大企业的负责人为同一人的情形。</w:t>
      </w:r>
    </w:p>
    <w:p w14:paraId="6B3F072D">
      <w:pPr>
        <w:widowControl/>
        <w:spacing w:beforeAutospacing="1" w:afterAutospacing="1" w:line="435" w:lineRule="atLeast"/>
        <w:ind w:firstLine="480"/>
        <w:jc w:val="left"/>
        <w:rPr>
          <w:rFonts w:hint="eastAsia" w:ascii="仿宋" w:hAnsi="仿宋" w:eastAsia="仿宋" w:cs="仿宋"/>
          <w:sz w:val="24"/>
        </w:rPr>
      </w:pPr>
      <w:r>
        <w:rPr>
          <w:rFonts w:hint="eastAsia" w:ascii="仿宋" w:hAnsi="仿宋" w:eastAsia="仿宋" w:cs="仿宋"/>
          <w:kern w:val="0"/>
          <w:sz w:val="24"/>
          <w:shd w:val="clear" w:color="auto" w:fill="FFFFFF"/>
          <w:lang w:bidi="ar"/>
        </w:rPr>
        <w:t>本企业对上述声明内容的真实性负责。如有虚假，将依法承担相应责任。</w:t>
      </w:r>
    </w:p>
    <w:p w14:paraId="6C034AE5">
      <w:pPr>
        <w:spacing w:line="360" w:lineRule="auto"/>
        <w:ind w:left="3960" w:right="1808"/>
        <w:contextualSpacing/>
        <w:rPr>
          <w:rFonts w:hint="eastAsia" w:ascii="宋体" w:hAnsi="宋体"/>
          <w:sz w:val="24"/>
        </w:rPr>
      </w:pPr>
    </w:p>
    <w:p w14:paraId="555D35A4">
      <w:pPr>
        <w:autoSpaceDE w:val="0"/>
        <w:autoSpaceDN w:val="0"/>
        <w:spacing w:line="360" w:lineRule="auto"/>
        <w:ind w:left="4335" w:leftChars="1950" w:hanging="240" w:hangingChars="100"/>
        <w:rPr>
          <w:rFonts w:hint="eastAsia" w:ascii="仿宋_GB2312" w:hAnsi="仿宋" w:eastAsia="仿宋_GB2312" w:cs="仿宋_GB2312"/>
          <w:kern w:val="0"/>
          <w:sz w:val="24"/>
        </w:rPr>
      </w:pPr>
      <w:r>
        <w:rPr>
          <w:rFonts w:hint="eastAsia" w:ascii="仿宋_GB2312" w:hAnsi="仿宋" w:eastAsia="仿宋_GB2312" w:cs="仿宋_GB2312"/>
          <w:kern w:val="0"/>
          <w:sz w:val="24"/>
        </w:rPr>
        <w:t>供应商名称（电子签章）：</w:t>
      </w:r>
    </w:p>
    <w:p w14:paraId="73DFB78E">
      <w:pPr>
        <w:autoSpaceDE w:val="0"/>
        <w:autoSpaceDN w:val="0"/>
        <w:spacing w:line="360" w:lineRule="auto"/>
        <w:ind w:firstLine="6480" w:firstLineChars="2700"/>
        <w:rPr>
          <w:rFonts w:hint="eastAsia" w:ascii="仿宋_GB2312" w:hAnsi="仿宋" w:eastAsia="仿宋_GB2312" w:cs="仿宋_GB2312"/>
          <w:kern w:val="0"/>
          <w:sz w:val="24"/>
          <w:lang w:val="zh-CN"/>
        </w:rPr>
      </w:pPr>
      <w:r>
        <w:rPr>
          <w:rFonts w:hint="eastAsia" w:ascii="仿宋_GB2312" w:hAnsi="仿宋" w:eastAsia="仿宋_GB2312" w:cs="仿宋_GB2312"/>
          <w:kern w:val="0"/>
          <w:sz w:val="24"/>
          <w:lang w:val="zh-CN"/>
        </w:rPr>
        <w:t>日期：  年  月   日</w:t>
      </w:r>
    </w:p>
    <w:p w14:paraId="6891C0C3">
      <w:pPr>
        <w:spacing w:line="360" w:lineRule="auto"/>
        <w:ind w:left="3960" w:right="1808"/>
        <w:contextualSpacing/>
      </w:pPr>
    </w:p>
    <w:p w14:paraId="3A9CF48C">
      <w:pPr>
        <w:pStyle w:val="11"/>
        <w:rPr>
          <w:rFonts w:cs="宋体"/>
          <w:b/>
          <w:kern w:val="0"/>
        </w:rPr>
      </w:pPr>
      <w:r>
        <w:rPr>
          <w:rFonts w:hint="eastAsia" w:cs="宋体"/>
          <w:b/>
          <w:kern w:val="0"/>
        </w:rPr>
        <w:t>注：①从业人员、营业收入、资产总额填报上一年度数据，无上一年度数据的新成立企业可不填报。</w:t>
      </w:r>
    </w:p>
    <w:p w14:paraId="325E746E">
      <w:pPr>
        <w:spacing w:line="360" w:lineRule="atLeast"/>
        <w:ind w:firstLine="426" w:firstLineChars="202"/>
        <w:jc w:val="left"/>
        <w:rPr>
          <w:rFonts w:hint="eastAsia" w:ascii="宋体" w:hAnsi="宋体"/>
          <w:b/>
          <w:szCs w:val="21"/>
          <w:u w:val="single"/>
        </w:rPr>
      </w:pPr>
      <w:r>
        <w:rPr>
          <w:rFonts w:hint="eastAsia" w:cs="宋体"/>
          <w:b/>
          <w:kern w:val="0"/>
          <w:szCs w:val="21"/>
        </w:rPr>
        <w:t>②</w:t>
      </w:r>
      <w:r>
        <w:rPr>
          <w:rFonts w:hint="eastAsia" w:ascii="宋体" w:hAnsi="宋体"/>
          <w:b/>
          <w:szCs w:val="21"/>
        </w:rPr>
        <w:t>项目所属行业依照《中小企业划型标准规定》（工信部联企业〔2011〕300号）及《国民经济行业分类》（GB/T4754-2017）的有关规定执行。</w:t>
      </w:r>
    </w:p>
    <w:p w14:paraId="78E2F58D">
      <w:pPr>
        <w:pStyle w:val="11"/>
        <w:adjustRightInd w:val="0"/>
        <w:spacing w:line="390" w:lineRule="exact"/>
        <w:contextualSpacing/>
        <w:rPr>
          <w:b/>
          <w:bCs/>
        </w:rPr>
        <w:sectPr>
          <w:pgSz w:w="11906" w:h="16838"/>
          <w:pgMar w:top="1440" w:right="1247" w:bottom="1440" w:left="1361" w:header="851" w:footer="992" w:gutter="0"/>
          <w:cols w:space="720" w:num="1"/>
          <w:docGrid w:linePitch="312" w:charSpace="0"/>
        </w:sectPr>
      </w:pPr>
    </w:p>
    <w:p w14:paraId="1FFCE4A7">
      <w:pPr>
        <w:pStyle w:val="11"/>
        <w:adjustRightInd w:val="0"/>
        <w:spacing w:line="390" w:lineRule="exact"/>
        <w:contextualSpacing/>
        <w:rPr>
          <w:rFonts w:hint="eastAsia" w:hAnsi="宋体" w:cs="宋体"/>
          <w:b/>
          <w:bCs/>
        </w:rPr>
      </w:pPr>
      <w:r>
        <w:rPr>
          <w:rFonts w:hint="eastAsia"/>
          <w:b/>
          <w:bCs/>
        </w:rPr>
        <w:t>附表</w:t>
      </w:r>
    </w:p>
    <w:p w14:paraId="43DC938A">
      <w:pPr>
        <w:widowControl/>
        <w:spacing w:before="120" w:beforeLines="50" w:after="120" w:afterLines="50" w:line="400" w:lineRule="exact"/>
        <w:jc w:val="center"/>
        <w:rPr>
          <w:rFonts w:hint="eastAsia" w:ascii="宋体" w:hAnsi="宋体" w:cs="宋体"/>
          <w:b/>
          <w:bCs/>
          <w:kern w:val="0"/>
          <w:sz w:val="30"/>
          <w:szCs w:val="30"/>
        </w:rPr>
      </w:pPr>
      <w:r>
        <w:rPr>
          <w:rFonts w:hint="eastAsia" w:ascii="宋体" w:hAnsi="宋体" w:cs="宋体"/>
          <w:b/>
          <w:bCs/>
          <w:kern w:val="0"/>
          <w:sz w:val="30"/>
          <w:szCs w:val="30"/>
        </w:rPr>
        <w:t>统计上大中小微型企业划分标准</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451"/>
        <w:gridCol w:w="750"/>
        <w:gridCol w:w="1191"/>
        <w:gridCol w:w="1803"/>
        <w:gridCol w:w="1511"/>
        <w:gridCol w:w="1049"/>
      </w:tblGrid>
      <w:tr w14:paraId="4811C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1847" w:type="dxa"/>
            <w:shd w:val="clear" w:color="auto" w:fill="8DB3E2"/>
            <w:vAlign w:val="center"/>
          </w:tcPr>
          <w:p w14:paraId="0014E9CE">
            <w:pPr>
              <w:widowControl/>
              <w:spacing w:line="240" w:lineRule="exact"/>
              <w:jc w:val="center"/>
              <w:rPr>
                <w:rFonts w:hint="eastAsia" w:ascii="宋体" w:hAnsi="宋体" w:cs="宋体"/>
                <w:b/>
                <w:bCs/>
                <w:kern w:val="0"/>
                <w:sz w:val="18"/>
                <w:szCs w:val="21"/>
              </w:rPr>
            </w:pPr>
            <w:r>
              <w:rPr>
                <w:rFonts w:hint="eastAsia" w:ascii="宋体" w:hAnsi="宋体" w:cs="宋体"/>
                <w:b/>
                <w:bCs/>
                <w:kern w:val="0"/>
                <w:sz w:val="18"/>
                <w:szCs w:val="21"/>
              </w:rPr>
              <w:t>行业名称</w:t>
            </w:r>
          </w:p>
        </w:tc>
        <w:tc>
          <w:tcPr>
            <w:tcW w:w="1451" w:type="dxa"/>
            <w:shd w:val="clear" w:color="auto" w:fill="8DB3E2"/>
            <w:vAlign w:val="center"/>
          </w:tcPr>
          <w:p w14:paraId="3D5A410E">
            <w:pPr>
              <w:widowControl/>
              <w:jc w:val="center"/>
              <w:rPr>
                <w:rFonts w:hint="eastAsia" w:ascii="宋体" w:hAnsi="宋体" w:cs="宋体"/>
                <w:b/>
                <w:bCs/>
                <w:kern w:val="0"/>
                <w:sz w:val="18"/>
                <w:szCs w:val="18"/>
              </w:rPr>
            </w:pPr>
            <w:r>
              <w:rPr>
                <w:rFonts w:hint="eastAsia" w:ascii="宋体" w:hAnsi="宋体" w:cs="宋体"/>
                <w:b/>
                <w:bCs/>
                <w:kern w:val="0"/>
                <w:sz w:val="18"/>
                <w:szCs w:val="18"/>
              </w:rPr>
              <w:t>指标名称</w:t>
            </w:r>
          </w:p>
        </w:tc>
        <w:tc>
          <w:tcPr>
            <w:tcW w:w="750" w:type="dxa"/>
            <w:shd w:val="clear" w:color="auto" w:fill="8DB3E2"/>
            <w:vAlign w:val="center"/>
          </w:tcPr>
          <w:p w14:paraId="4A7E78EC">
            <w:pPr>
              <w:widowControl/>
              <w:jc w:val="center"/>
              <w:rPr>
                <w:rFonts w:hint="eastAsia" w:ascii="宋体" w:hAnsi="宋体" w:cs="宋体"/>
                <w:b/>
                <w:bCs/>
                <w:kern w:val="0"/>
                <w:sz w:val="18"/>
                <w:szCs w:val="18"/>
              </w:rPr>
            </w:pPr>
            <w:r>
              <w:rPr>
                <w:rFonts w:hint="eastAsia" w:ascii="宋体" w:hAnsi="宋体" w:cs="宋体"/>
                <w:b/>
                <w:bCs/>
                <w:kern w:val="0"/>
                <w:sz w:val="18"/>
                <w:szCs w:val="18"/>
              </w:rPr>
              <w:t>计量</w:t>
            </w:r>
          </w:p>
          <w:p w14:paraId="70F1DE1B">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1191" w:type="dxa"/>
            <w:shd w:val="clear" w:color="auto" w:fill="8DB3E2"/>
            <w:vAlign w:val="center"/>
          </w:tcPr>
          <w:p w14:paraId="09E2B2FD">
            <w:pPr>
              <w:widowControl/>
              <w:jc w:val="center"/>
              <w:rPr>
                <w:rFonts w:hint="eastAsia" w:ascii="宋体" w:hAnsi="宋体" w:cs="宋体"/>
                <w:b/>
                <w:bCs/>
                <w:kern w:val="0"/>
                <w:sz w:val="18"/>
                <w:szCs w:val="18"/>
              </w:rPr>
            </w:pPr>
            <w:r>
              <w:rPr>
                <w:rFonts w:hint="eastAsia" w:ascii="宋体" w:hAnsi="宋体" w:cs="宋体"/>
                <w:b/>
                <w:bCs/>
                <w:kern w:val="0"/>
                <w:sz w:val="18"/>
                <w:szCs w:val="18"/>
              </w:rPr>
              <w:t>大型</w:t>
            </w:r>
          </w:p>
        </w:tc>
        <w:tc>
          <w:tcPr>
            <w:tcW w:w="1803" w:type="dxa"/>
            <w:shd w:val="clear" w:color="auto" w:fill="8DB3E2"/>
            <w:vAlign w:val="center"/>
          </w:tcPr>
          <w:p w14:paraId="58F94D14">
            <w:pPr>
              <w:widowControl/>
              <w:jc w:val="center"/>
              <w:rPr>
                <w:rFonts w:hint="eastAsia" w:ascii="宋体" w:hAnsi="宋体" w:cs="宋体"/>
                <w:b/>
                <w:bCs/>
                <w:kern w:val="0"/>
                <w:sz w:val="18"/>
                <w:szCs w:val="18"/>
              </w:rPr>
            </w:pPr>
            <w:r>
              <w:rPr>
                <w:rFonts w:hint="eastAsia" w:ascii="宋体" w:hAnsi="宋体" w:cs="宋体"/>
                <w:b/>
                <w:bCs/>
                <w:kern w:val="0"/>
                <w:sz w:val="18"/>
                <w:szCs w:val="18"/>
              </w:rPr>
              <w:t>中型</w:t>
            </w:r>
          </w:p>
        </w:tc>
        <w:tc>
          <w:tcPr>
            <w:tcW w:w="1511" w:type="dxa"/>
            <w:shd w:val="clear" w:color="auto" w:fill="8DB3E2"/>
            <w:vAlign w:val="center"/>
          </w:tcPr>
          <w:p w14:paraId="6F0EE8CE">
            <w:pPr>
              <w:widowControl/>
              <w:jc w:val="center"/>
              <w:rPr>
                <w:rFonts w:hint="eastAsia" w:ascii="宋体" w:hAnsi="宋体" w:cs="宋体"/>
                <w:b/>
                <w:bCs/>
                <w:kern w:val="0"/>
                <w:sz w:val="18"/>
                <w:szCs w:val="18"/>
              </w:rPr>
            </w:pPr>
            <w:r>
              <w:rPr>
                <w:rFonts w:hint="eastAsia" w:ascii="宋体" w:hAnsi="宋体" w:cs="宋体"/>
                <w:b/>
                <w:bCs/>
                <w:kern w:val="0"/>
                <w:sz w:val="18"/>
                <w:szCs w:val="18"/>
              </w:rPr>
              <w:t>小型</w:t>
            </w:r>
          </w:p>
        </w:tc>
        <w:tc>
          <w:tcPr>
            <w:tcW w:w="1049" w:type="dxa"/>
            <w:shd w:val="clear" w:color="auto" w:fill="8DB3E2"/>
            <w:vAlign w:val="center"/>
          </w:tcPr>
          <w:p w14:paraId="2A06204C">
            <w:pPr>
              <w:widowControl/>
              <w:jc w:val="center"/>
              <w:rPr>
                <w:rFonts w:hint="eastAsia" w:ascii="宋体" w:hAnsi="宋体" w:cs="宋体"/>
                <w:b/>
                <w:bCs/>
                <w:kern w:val="0"/>
                <w:sz w:val="18"/>
                <w:szCs w:val="18"/>
              </w:rPr>
            </w:pPr>
            <w:r>
              <w:rPr>
                <w:rFonts w:hint="eastAsia" w:ascii="宋体" w:hAnsi="宋体" w:cs="宋体"/>
                <w:b/>
                <w:bCs/>
                <w:kern w:val="0"/>
                <w:sz w:val="18"/>
                <w:szCs w:val="18"/>
              </w:rPr>
              <w:t>微型</w:t>
            </w:r>
          </w:p>
        </w:tc>
      </w:tr>
      <w:tr w14:paraId="439A8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6D333B6F">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农、林、牧、渔业</w:t>
            </w:r>
          </w:p>
        </w:tc>
        <w:tc>
          <w:tcPr>
            <w:tcW w:w="1451" w:type="dxa"/>
            <w:vAlign w:val="center"/>
          </w:tcPr>
          <w:p w14:paraId="617C066F">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E0FCCED">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F35A2EB">
            <w:pPr>
              <w:widowControl/>
              <w:jc w:val="center"/>
              <w:rPr>
                <w:rFonts w:hint="eastAsia" w:ascii="宋体" w:hAnsi="宋体" w:cs="宋体"/>
                <w:kern w:val="0"/>
                <w:sz w:val="18"/>
                <w:szCs w:val="18"/>
              </w:rPr>
            </w:pPr>
            <w:r>
              <w:rPr>
                <w:rFonts w:hint="eastAsia" w:ascii="宋体" w:hAnsi="宋体" w:cs="宋体"/>
                <w:kern w:val="0"/>
                <w:sz w:val="18"/>
                <w:szCs w:val="18"/>
              </w:rPr>
              <w:t>Y≥20000</w:t>
            </w:r>
          </w:p>
        </w:tc>
        <w:tc>
          <w:tcPr>
            <w:tcW w:w="1803" w:type="dxa"/>
            <w:vAlign w:val="center"/>
          </w:tcPr>
          <w:p w14:paraId="77B81744">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6C617C51">
            <w:pPr>
              <w:widowControl/>
              <w:jc w:val="center"/>
              <w:rPr>
                <w:rFonts w:hint="eastAsia" w:ascii="宋体" w:hAnsi="宋体" w:cs="宋体"/>
                <w:kern w:val="0"/>
                <w:sz w:val="18"/>
                <w:szCs w:val="18"/>
              </w:rPr>
            </w:pPr>
            <w:r>
              <w:rPr>
                <w:rFonts w:hint="eastAsia" w:ascii="宋体" w:hAnsi="宋体" w:cs="宋体"/>
                <w:kern w:val="0"/>
                <w:sz w:val="18"/>
                <w:szCs w:val="18"/>
              </w:rPr>
              <w:t>50≤Y＜500</w:t>
            </w:r>
          </w:p>
        </w:tc>
        <w:tc>
          <w:tcPr>
            <w:tcW w:w="1049" w:type="dxa"/>
            <w:vAlign w:val="center"/>
          </w:tcPr>
          <w:p w14:paraId="72EB2FED">
            <w:pPr>
              <w:widowControl/>
              <w:jc w:val="center"/>
              <w:rPr>
                <w:rFonts w:hint="eastAsia" w:ascii="宋体" w:hAnsi="宋体" w:cs="宋体"/>
                <w:kern w:val="0"/>
                <w:sz w:val="18"/>
                <w:szCs w:val="18"/>
              </w:rPr>
            </w:pPr>
            <w:r>
              <w:rPr>
                <w:rFonts w:hint="eastAsia" w:ascii="宋体" w:hAnsi="宋体" w:cs="宋体"/>
                <w:kern w:val="0"/>
                <w:sz w:val="18"/>
                <w:szCs w:val="18"/>
              </w:rPr>
              <w:t>Y＜50</w:t>
            </w:r>
          </w:p>
        </w:tc>
      </w:tr>
      <w:tr w14:paraId="7FC2F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9E256C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工业 *</w:t>
            </w:r>
          </w:p>
        </w:tc>
        <w:tc>
          <w:tcPr>
            <w:tcW w:w="1451" w:type="dxa"/>
            <w:vAlign w:val="center"/>
          </w:tcPr>
          <w:p w14:paraId="1B287C5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7B360FB5">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64057C40">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803" w:type="dxa"/>
            <w:vAlign w:val="center"/>
          </w:tcPr>
          <w:p w14:paraId="417C99DD">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64277B5D">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049" w:type="dxa"/>
            <w:vAlign w:val="center"/>
          </w:tcPr>
          <w:p w14:paraId="59B494F2">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1FC3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4EDBD2B">
            <w:pPr>
              <w:widowControl/>
              <w:jc w:val="left"/>
              <w:rPr>
                <w:rFonts w:hint="eastAsia" w:ascii="宋体" w:hAnsi="宋体" w:cs="宋体"/>
                <w:kern w:val="0"/>
                <w:sz w:val="18"/>
                <w:szCs w:val="18"/>
              </w:rPr>
            </w:pPr>
          </w:p>
        </w:tc>
        <w:tc>
          <w:tcPr>
            <w:tcW w:w="1451" w:type="dxa"/>
            <w:vAlign w:val="center"/>
          </w:tcPr>
          <w:p w14:paraId="5F7F037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26B40AC0">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40D3586">
            <w:pPr>
              <w:widowControl/>
              <w:jc w:val="center"/>
              <w:rPr>
                <w:rFonts w:hint="eastAsia" w:ascii="宋体" w:hAnsi="宋体" w:cs="宋体"/>
                <w:kern w:val="0"/>
                <w:sz w:val="18"/>
                <w:szCs w:val="18"/>
              </w:rPr>
            </w:pPr>
            <w:r>
              <w:rPr>
                <w:rFonts w:hint="eastAsia" w:ascii="宋体" w:hAnsi="宋体" w:cs="宋体"/>
                <w:kern w:val="0"/>
                <w:sz w:val="18"/>
                <w:szCs w:val="18"/>
              </w:rPr>
              <w:t>Y≥40000</w:t>
            </w:r>
          </w:p>
        </w:tc>
        <w:tc>
          <w:tcPr>
            <w:tcW w:w="1803" w:type="dxa"/>
            <w:vAlign w:val="center"/>
          </w:tcPr>
          <w:p w14:paraId="69CB4459">
            <w:pPr>
              <w:widowControl/>
              <w:jc w:val="center"/>
              <w:rPr>
                <w:rFonts w:hint="eastAsia" w:ascii="宋体" w:hAnsi="宋体" w:cs="宋体"/>
                <w:kern w:val="0"/>
                <w:sz w:val="18"/>
                <w:szCs w:val="18"/>
              </w:rPr>
            </w:pPr>
            <w:r>
              <w:rPr>
                <w:rFonts w:hint="eastAsia" w:ascii="宋体" w:hAnsi="宋体" w:cs="宋体"/>
                <w:kern w:val="0"/>
                <w:sz w:val="18"/>
                <w:szCs w:val="18"/>
              </w:rPr>
              <w:t>2000≤Y＜40000</w:t>
            </w:r>
          </w:p>
        </w:tc>
        <w:tc>
          <w:tcPr>
            <w:tcW w:w="1511" w:type="dxa"/>
            <w:vAlign w:val="center"/>
          </w:tcPr>
          <w:p w14:paraId="3609EF09">
            <w:pPr>
              <w:widowControl/>
              <w:jc w:val="center"/>
              <w:rPr>
                <w:rFonts w:hint="eastAsia" w:ascii="宋体" w:hAnsi="宋体" w:cs="宋体"/>
                <w:kern w:val="0"/>
                <w:sz w:val="18"/>
                <w:szCs w:val="18"/>
              </w:rPr>
            </w:pPr>
            <w:r>
              <w:rPr>
                <w:rFonts w:hint="eastAsia" w:ascii="宋体" w:hAnsi="宋体" w:cs="宋体"/>
                <w:kern w:val="0"/>
                <w:sz w:val="18"/>
                <w:szCs w:val="18"/>
              </w:rPr>
              <w:t>300≤Y＜2000</w:t>
            </w:r>
          </w:p>
        </w:tc>
        <w:tc>
          <w:tcPr>
            <w:tcW w:w="1049" w:type="dxa"/>
            <w:vAlign w:val="center"/>
          </w:tcPr>
          <w:p w14:paraId="36240AE8">
            <w:pPr>
              <w:widowControl/>
              <w:jc w:val="center"/>
              <w:rPr>
                <w:rFonts w:hint="eastAsia" w:ascii="宋体" w:hAnsi="宋体" w:cs="宋体"/>
                <w:kern w:val="0"/>
                <w:sz w:val="18"/>
                <w:szCs w:val="18"/>
              </w:rPr>
            </w:pPr>
            <w:r>
              <w:rPr>
                <w:rFonts w:hint="eastAsia" w:ascii="宋体" w:hAnsi="宋体" w:cs="宋体"/>
                <w:kern w:val="0"/>
                <w:sz w:val="18"/>
                <w:szCs w:val="18"/>
              </w:rPr>
              <w:t>Y＜300</w:t>
            </w:r>
          </w:p>
        </w:tc>
      </w:tr>
      <w:tr w14:paraId="131B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1D1E7DDD">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建筑业</w:t>
            </w:r>
          </w:p>
        </w:tc>
        <w:tc>
          <w:tcPr>
            <w:tcW w:w="1451" w:type="dxa"/>
            <w:vAlign w:val="center"/>
          </w:tcPr>
          <w:p w14:paraId="35CF4720">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BE8672C">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DCAE6F0">
            <w:pPr>
              <w:widowControl/>
              <w:jc w:val="center"/>
              <w:rPr>
                <w:rFonts w:hint="eastAsia" w:ascii="宋体" w:hAnsi="宋体" w:cs="宋体"/>
                <w:kern w:val="0"/>
                <w:sz w:val="18"/>
                <w:szCs w:val="18"/>
              </w:rPr>
            </w:pPr>
            <w:r>
              <w:rPr>
                <w:rFonts w:hint="eastAsia" w:ascii="宋体" w:hAnsi="宋体" w:cs="宋体"/>
                <w:kern w:val="0"/>
                <w:sz w:val="18"/>
                <w:szCs w:val="18"/>
              </w:rPr>
              <w:t>Y≥80000</w:t>
            </w:r>
          </w:p>
        </w:tc>
        <w:tc>
          <w:tcPr>
            <w:tcW w:w="1803" w:type="dxa"/>
            <w:vAlign w:val="center"/>
          </w:tcPr>
          <w:p w14:paraId="7C0A6B03">
            <w:pPr>
              <w:widowControl/>
              <w:jc w:val="center"/>
              <w:rPr>
                <w:rFonts w:hint="eastAsia" w:ascii="宋体" w:hAnsi="宋体" w:cs="宋体"/>
                <w:kern w:val="0"/>
                <w:sz w:val="18"/>
                <w:szCs w:val="18"/>
              </w:rPr>
            </w:pPr>
            <w:r>
              <w:rPr>
                <w:rFonts w:hint="eastAsia" w:ascii="宋体" w:hAnsi="宋体" w:cs="宋体"/>
                <w:kern w:val="0"/>
                <w:sz w:val="18"/>
                <w:szCs w:val="18"/>
              </w:rPr>
              <w:t>6000≤Y＜80000</w:t>
            </w:r>
          </w:p>
        </w:tc>
        <w:tc>
          <w:tcPr>
            <w:tcW w:w="1511" w:type="dxa"/>
            <w:vAlign w:val="center"/>
          </w:tcPr>
          <w:p w14:paraId="36B84C86">
            <w:pPr>
              <w:widowControl/>
              <w:jc w:val="center"/>
              <w:rPr>
                <w:rFonts w:hint="eastAsia" w:ascii="宋体" w:hAnsi="宋体" w:cs="宋体"/>
                <w:kern w:val="0"/>
                <w:sz w:val="18"/>
                <w:szCs w:val="18"/>
              </w:rPr>
            </w:pPr>
            <w:r>
              <w:rPr>
                <w:rFonts w:hint="eastAsia" w:ascii="宋体" w:hAnsi="宋体" w:cs="宋体"/>
                <w:kern w:val="0"/>
                <w:sz w:val="18"/>
                <w:szCs w:val="18"/>
              </w:rPr>
              <w:t>300≤Y＜6000</w:t>
            </w:r>
          </w:p>
        </w:tc>
        <w:tc>
          <w:tcPr>
            <w:tcW w:w="1049" w:type="dxa"/>
            <w:vAlign w:val="center"/>
          </w:tcPr>
          <w:p w14:paraId="575C8306">
            <w:pPr>
              <w:widowControl/>
              <w:jc w:val="center"/>
              <w:rPr>
                <w:rFonts w:hint="eastAsia" w:ascii="宋体" w:hAnsi="宋体" w:cs="宋体"/>
                <w:kern w:val="0"/>
                <w:sz w:val="18"/>
                <w:szCs w:val="18"/>
              </w:rPr>
            </w:pPr>
            <w:r>
              <w:rPr>
                <w:rFonts w:hint="eastAsia" w:ascii="宋体" w:hAnsi="宋体" w:cs="宋体"/>
                <w:kern w:val="0"/>
                <w:sz w:val="18"/>
                <w:szCs w:val="18"/>
              </w:rPr>
              <w:t>Y＜300</w:t>
            </w:r>
          </w:p>
        </w:tc>
      </w:tr>
      <w:tr w14:paraId="41C8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E7B233C">
            <w:pPr>
              <w:widowControl/>
              <w:jc w:val="left"/>
              <w:rPr>
                <w:rFonts w:hint="eastAsia" w:ascii="宋体" w:hAnsi="宋体" w:cs="宋体"/>
                <w:kern w:val="0"/>
                <w:sz w:val="18"/>
                <w:szCs w:val="18"/>
              </w:rPr>
            </w:pPr>
          </w:p>
        </w:tc>
        <w:tc>
          <w:tcPr>
            <w:tcW w:w="1451" w:type="dxa"/>
            <w:vAlign w:val="center"/>
          </w:tcPr>
          <w:p w14:paraId="750383E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22E8C76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735BB90">
            <w:pPr>
              <w:widowControl/>
              <w:jc w:val="center"/>
              <w:rPr>
                <w:rFonts w:hint="eastAsia" w:ascii="宋体" w:hAnsi="宋体" w:cs="宋体"/>
                <w:kern w:val="0"/>
                <w:sz w:val="18"/>
                <w:szCs w:val="18"/>
              </w:rPr>
            </w:pPr>
            <w:r>
              <w:rPr>
                <w:rFonts w:hint="eastAsia" w:ascii="宋体" w:hAnsi="宋体" w:cs="宋体"/>
                <w:kern w:val="0"/>
                <w:sz w:val="18"/>
                <w:szCs w:val="18"/>
              </w:rPr>
              <w:t>Z≥80000</w:t>
            </w:r>
          </w:p>
        </w:tc>
        <w:tc>
          <w:tcPr>
            <w:tcW w:w="1803" w:type="dxa"/>
            <w:vAlign w:val="center"/>
          </w:tcPr>
          <w:p w14:paraId="43696FA9">
            <w:pPr>
              <w:widowControl/>
              <w:jc w:val="center"/>
              <w:rPr>
                <w:rFonts w:hint="eastAsia" w:ascii="宋体" w:hAnsi="宋体" w:cs="宋体"/>
                <w:kern w:val="0"/>
                <w:sz w:val="18"/>
                <w:szCs w:val="18"/>
              </w:rPr>
            </w:pPr>
            <w:r>
              <w:rPr>
                <w:rFonts w:hint="eastAsia" w:ascii="宋体" w:hAnsi="宋体" w:cs="宋体"/>
                <w:kern w:val="0"/>
                <w:sz w:val="18"/>
                <w:szCs w:val="18"/>
              </w:rPr>
              <w:t>5000≤Z＜80000</w:t>
            </w:r>
          </w:p>
        </w:tc>
        <w:tc>
          <w:tcPr>
            <w:tcW w:w="1511" w:type="dxa"/>
            <w:vAlign w:val="center"/>
          </w:tcPr>
          <w:p w14:paraId="3EED72E6">
            <w:pPr>
              <w:widowControl/>
              <w:jc w:val="center"/>
              <w:rPr>
                <w:rFonts w:hint="eastAsia" w:ascii="宋体" w:hAnsi="宋体" w:cs="宋体"/>
                <w:kern w:val="0"/>
                <w:sz w:val="18"/>
                <w:szCs w:val="18"/>
              </w:rPr>
            </w:pPr>
            <w:r>
              <w:rPr>
                <w:rFonts w:hint="eastAsia" w:ascii="宋体" w:hAnsi="宋体" w:cs="宋体"/>
                <w:kern w:val="0"/>
                <w:sz w:val="18"/>
                <w:szCs w:val="18"/>
              </w:rPr>
              <w:t>300≤Z＜5000</w:t>
            </w:r>
          </w:p>
        </w:tc>
        <w:tc>
          <w:tcPr>
            <w:tcW w:w="1049" w:type="dxa"/>
            <w:vAlign w:val="center"/>
          </w:tcPr>
          <w:p w14:paraId="365DA67D">
            <w:pPr>
              <w:widowControl/>
              <w:jc w:val="center"/>
              <w:rPr>
                <w:rFonts w:hint="eastAsia" w:ascii="宋体" w:hAnsi="宋体" w:cs="宋体"/>
                <w:kern w:val="0"/>
                <w:sz w:val="18"/>
                <w:szCs w:val="18"/>
              </w:rPr>
            </w:pPr>
            <w:r>
              <w:rPr>
                <w:rFonts w:hint="eastAsia" w:ascii="宋体" w:hAnsi="宋体" w:cs="宋体"/>
                <w:kern w:val="0"/>
                <w:sz w:val="18"/>
                <w:szCs w:val="18"/>
              </w:rPr>
              <w:t>Z＜300</w:t>
            </w:r>
          </w:p>
        </w:tc>
      </w:tr>
      <w:tr w14:paraId="62B1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363D8AE">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批发业</w:t>
            </w:r>
          </w:p>
        </w:tc>
        <w:tc>
          <w:tcPr>
            <w:tcW w:w="1451" w:type="dxa"/>
            <w:vAlign w:val="center"/>
          </w:tcPr>
          <w:p w14:paraId="387C6400">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17153735">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23F3B29D">
            <w:pPr>
              <w:widowControl/>
              <w:jc w:val="center"/>
              <w:rPr>
                <w:rFonts w:hint="eastAsia" w:ascii="宋体" w:hAnsi="宋体" w:cs="宋体"/>
                <w:kern w:val="0"/>
                <w:sz w:val="18"/>
                <w:szCs w:val="18"/>
              </w:rPr>
            </w:pPr>
            <w:r>
              <w:rPr>
                <w:rFonts w:hint="eastAsia" w:ascii="宋体" w:hAnsi="宋体" w:cs="宋体"/>
                <w:kern w:val="0"/>
                <w:sz w:val="18"/>
                <w:szCs w:val="18"/>
              </w:rPr>
              <w:t>X≥200</w:t>
            </w:r>
          </w:p>
        </w:tc>
        <w:tc>
          <w:tcPr>
            <w:tcW w:w="1803" w:type="dxa"/>
            <w:vAlign w:val="center"/>
          </w:tcPr>
          <w:p w14:paraId="5717FA04">
            <w:pPr>
              <w:widowControl/>
              <w:jc w:val="center"/>
              <w:rPr>
                <w:rFonts w:hint="eastAsia" w:ascii="宋体" w:hAnsi="宋体" w:cs="宋体"/>
                <w:kern w:val="0"/>
                <w:sz w:val="18"/>
                <w:szCs w:val="18"/>
              </w:rPr>
            </w:pPr>
            <w:r>
              <w:rPr>
                <w:rFonts w:hint="eastAsia" w:ascii="宋体" w:hAnsi="宋体" w:cs="宋体"/>
                <w:kern w:val="0"/>
                <w:sz w:val="18"/>
                <w:szCs w:val="18"/>
              </w:rPr>
              <w:t>20≤X＜200</w:t>
            </w:r>
          </w:p>
        </w:tc>
        <w:tc>
          <w:tcPr>
            <w:tcW w:w="1511" w:type="dxa"/>
            <w:vAlign w:val="center"/>
          </w:tcPr>
          <w:p w14:paraId="4DDF4225">
            <w:pPr>
              <w:widowControl/>
              <w:jc w:val="center"/>
              <w:rPr>
                <w:rFonts w:hint="eastAsia" w:ascii="宋体" w:hAnsi="宋体" w:cs="宋体"/>
                <w:kern w:val="0"/>
                <w:sz w:val="18"/>
                <w:szCs w:val="18"/>
              </w:rPr>
            </w:pPr>
            <w:r>
              <w:rPr>
                <w:rFonts w:hint="eastAsia" w:ascii="宋体" w:hAnsi="宋体" w:cs="宋体"/>
                <w:kern w:val="0"/>
                <w:sz w:val="18"/>
                <w:szCs w:val="18"/>
              </w:rPr>
              <w:t>5≤X＜20</w:t>
            </w:r>
          </w:p>
        </w:tc>
        <w:tc>
          <w:tcPr>
            <w:tcW w:w="1049" w:type="dxa"/>
            <w:vAlign w:val="center"/>
          </w:tcPr>
          <w:p w14:paraId="08F9655A">
            <w:pPr>
              <w:widowControl/>
              <w:jc w:val="center"/>
              <w:rPr>
                <w:rFonts w:hint="eastAsia" w:ascii="宋体" w:hAnsi="宋体" w:cs="宋体"/>
                <w:kern w:val="0"/>
                <w:sz w:val="18"/>
                <w:szCs w:val="18"/>
              </w:rPr>
            </w:pPr>
            <w:r>
              <w:rPr>
                <w:rFonts w:hint="eastAsia" w:ascii="宋体" w:hAnsi="宋体" w:cs="宋体"/>
                <w:kern w:val="0"/>
                <w:sz w:val="18"/>
                <w:szCs w:val="18"/>
              </w:rPr>
              <w:t>X＜5</w:t>
            </w:r>
          </w:p>
        </w:tc>
      </w:tr>
      <w:tr w14:paraId="0F1B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5FF8058C">
            <w:pPr>
              <w:widowControl/>
              <w:jc w:val="left"/>
              <w:rPr>
                <w:rFonts w:hint="eastAsia" w:ascii="宋体" w:hAnsi="宋体" w:cs="宋体"/>
                <w:kern w:val="0"/>
                <w:sz w:val="18"/>
                <w:szCs w:val="18"/>
              </w:rPr>
            </w:pPr>
          </w:p>
        </w:tc>
        <w:tc>
          <w:tcPr>
            <w:tcW w:w="1451" w:type="dxa"/>
            <w:vAlign w:val="center"/>
          </w:tcPr>
          <w:p w14:paraId="48F9B86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2F25355E">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17D3615">
            <w:pPr>
              <w:widowControl/>
              <w:jc w:val="center"/>
              <w:rPr>
                <w:rFonts w:hint="eastAsia" w:ascii="宋体" w:hAnsi="宋体" w:cs="宋体"/>
                <w:kern w:val="0"/>
                <w:sz w:val="18"/>
                <w:szCs w:val="18"/>
              </w:rPr>
            </w:pPr>
            <w:r>
              <w:rPr>
                <w:rFonts w:hint="eastAsia" w:ascii="宋体" w:hAnsi="宋体" w:cs="宋体"/>
                <w:kern w:val="0"/>
                <w:sz w:val="18"/>
                <w:szCs w:val="18"/>
              </w:rPr>
              <w:t>Y≥40000</w:t>
            </w:r>
          </w:p>
        </w:tc>
        <w:tc>
          <w:tcPr>
            <w:tcW w:w="1803" w:type="dxa"/>
            <w:vAlign w:val="center"/>
          </w:tcPr>
          <w:p w14:paraId="7B90A2C9">
            <w:pPr>
              <w:widowControl/>
              <w:jc w:val="center"/>
              <w:rPr>
                <w:rFonts w:hint="eastAsia" w:ascii="宋体" w:hAnsi="宋体" w:cs="宋体"/>
                <w:kern w:val="0"/>
                <w:sz w:val="18"/>
                <w:szCs w:val="18"/>
              </w:rPr>
            </w:pPr>
            <w:r>
              <w:rPr>
                <w:rFonts w:hint="eastAsia" w:ascii="宋体" w:hAnsi="宋体" w:cs="宋体"/>
                <w:kern w:val="0"/>
                <w:sz w:val="18"/>
                <w:szCs w:val="18"/>
              </w:rPr>
              <w:t>5000≤Y＜40000</w:t>
            </w:r>
          </w:p>
        </w:tc>
        <w:tc>
          <w:tcPr>
            <w:tcW w:w="1511" w:type="dxa"/>
            <w:vAlign w:val="center"/>
          </w:tcPr>
          <w:p w14:paraId="76C1ED15">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1000≤Y＜5000</w:t>
            </w:r>
          </w:p>
        </w:tc>
        <w:tc>
          <w:tcPr>
            <w:tcW w:w="1049" w:type="dxa"/>
            <w:vAlign w:val="center"/>
          </w:tcPr>
          <w:p w14:paraId="08B12669">
            <w:pPr>
              <w:widowControl/>
              <w:jc w:val="center"/>
              <w:rPr>
                <w:rFonts w:hint="eastAsia" w:ascii="宋体" w:hAnsi="宋体" w:cs="宋体"/>
                <w:kern w:val="0"/>
                <w:sz w:val="18"/>
                <w:szCs w:val="18"/>
              </w:rPr>
            </w:pPr>
            <w:r>
              <w:rPr>
                <w:rFonts w:hint="eastAsia" w:ascii="宋体" w:hAnsi="宋体" w:cs="宋体"/>
                <w:kern w:val="0"/>
                <w:sz w:val="18"/>
                <w:szCs w:val="18"/>
              </w:rPr>
              <w:t>Y＜1000</w:t>
            </w:r>
          </w:p>
        </w:tc>
      </w:tr>
      <w:tr w14:paraId="659A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20A52AA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零售业</w:t>
            </w:r>
          </w:p>
        </w:tc>
        <w:tc>
          <w:tcPr>
            <w:tcW w:w="1451" w:type="dxa"/>
            <w:vAlign w:val="center"/>
          </w:tcPr>
          <w:p w14:paraId="7B61258C">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58EA5B80">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31C53037">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74D78B57">
            <w:pPr>
              <w:widowControl/>
              <w:jc w:val="center"/>
              <w:rPr>
                <w:rFonts w:hint="eastAsia" w:ascii="宋体" w:hAnsi="宋体" w:cs="宋体"/>
                <w:kern w:val="0"/>
                <w:sz w:val="18"/>
                <w:szCs w:val="18"/>
              </w:rPr>
            </w:pPr>
            <w:r>
              <w:rPr>
                <w:rFonts w:hint="eastAsia" w:ascii="宋体" w:hAnsi="宋体" w:cs="宋体"/>
                <w:kern w:val="0"/>
                <w:sz w:val="18"/>
                <w:szCs w:val="18"/>
              </w:rPr>
              <w:t>50≤X＜300</w:t>
            </w:r>
          </w:p>
        </w:tc>
        <w:tc>
          <w:tcPr>
            <w:tcW w:w="1511" w:type="dxa"/>
            <w:vAlign w:val="center"/>
          </w:tcPr>
          <w:p w14:paraId="0C096EE3">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 xml:space="preserve">10≤X＜50 </w:t>
            </w:r>
          </w:p>
        </w:tc>
        <w:tc>
          <w:tcPr>
            <w:tcW w:w="1049" w:type="dxa"/>
            <w:vAlign w:val="center"/>
          </w:tcPr>
          <w:p w14:paraId="60EFABB1">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4692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4FDA360">
            <w:pPr>
              <w:widowControl/>
              <w:jc w:val="left"/>
              <w:rPr>
                <w:rFonts w:hint="eastAsia" w:ascii="宋体" w:hAnsi="宋体" w:cs="宋体"/>
                <w:kern w:val="0"/>
                <w:sz w:val="18"/>
                <w:szCs w:val="18"/>
              </w:rPr>
            </w:pPr>
          </w:p>
        </w:tc>
        <w:tc>
          <w:tcPr>
            <w:tcW w:w="1451" w:type="dxa"/>
            <w:vAlign w:val="center"/>
          </w:tcPr>
          <w:p w14:paraId="4171833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AC40A88">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0DD4E1AB">
            <w:pPr>
              <w:widowControl/>
              <w:jc w:val="center"/>
              <w:rPr>
                <w:rFonts w:hint="eastAsia" w:ascii="宋体" w:hAnsi="宋体" w:cs="宋体"/>
                <w:kern w:val="0"/>
                <w:sz w:val="18"/>
                <w:szCs w:val="18"/>
              </w:rPr>
            </w:pPr>
            <w:r>
              <w:rPr>
                <w:rFonts w:hint="eastAsia" w:ascii="宋体" w:hAnsi="宋体" w:cs="宋体"/>
                <w:kern w:val="0"/>
                <w:sz w:val="18"/>
                <w:szCs w:val="18"/>
              </w:rPr>
              <w:t>Y≥20000</w:t>
            </w:r>
          </w:p>
        </w:tc>
        <w:tc>
          <w:tcPr>
            <w:tcW w:w="1803" w:type="dxa"/>
            <w:vAlign w:val="center"/>
          </w:tcPr>
          <w:p w14:paraId="3AE223EE">
            <w:pPr>
              <w:widowControl/>
              <w:jc w:val="center"/>
              <w:rPr>
                <w:rFonts w:hint="eastAsia" w:ascii="宋体" w:hAnsi="宋体" w:cs="宋体"/>
                <w:kern w:val="0"/>
                <w:sz w:val="18"/>
                <w:szCs w:val="18"/>
              </w:rPr>
            </w:pPr>
            <w:r>
              <w:rPr>
                <w:rFonts w:hint="eastAsia" w:ascii="宋体" w:hAnsi="宋体" w:cs="宋体"/>
                <w:kern w:val="0"/>
                <w:sz w:val="18"/>
                <w:szCs w:val="18"/>
              </w:rPr>
              <w:t>500≤Y＜20000</w:t>
            </w:r>
          </w:p>
        </w:tc>
        <w:tc>
          <w:tcPr>
            <w:tcW w:w="1511" w:type="dxa"/>
            <w:vAlign w:val="center"/>
          </w:tcPr>
          <w:p w14:paraId="10892DE4">
            <w:pPr>
              <w:widowControl/>
              <w:ind w:left="-1" w:leftChars="-1" w:hanging="1"/>
              <w:jc w:val="center"/>
              <w:rPr>
                <w:rFonts w:hint="eastAsia" w:ascii="宋体" w:hAnsi="宋体" w:cs="宋体"/>
                <w:kern w:val="0"/>
                <w:sz w:val="18"/>
                <w:szCs w:val="18"/>
              </w:rPr>
            </w:pPr>
            <w:r>
              <w:rPr>
                <w:rFonts w:hint="eastAsia" w:ascii="宋体" w:hAnsi="宋体" w:cs="宋体"/>
                <w:kern w:val="0"/>
                <w:sz w:val="18"/>
                <w:szCs w:val="18"/>
              </w:rPr>
              <w:t>100≤Y＜500</w:t>
            </w:r>
          </w:p>
        </w:tc>
        <w:tc>
          <w:tcPr>
            <w:tcW w:w="1049" w:type="dxa"/>
            <w:vAlign w:val="center"/>
          </w:tcPr>
          <w:p w14:paraId="79B241CA">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5CC7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0D4A77F6">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交通运输业 *</w:t>
            </w:r>
          </w:p>
        </w:tc>
        <w:tc>
          <w:tcPr>
            <w:tcW w:w="1451" w:type="dxa"/>
            <w:vAlign w:val="center"/>
          </w:tcPr>
          <w:p w14:paraId="7CE8DC40">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0C5672D2">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6B7FA798">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803" w:type="dxa"/>
            <w:vAlign w:val="center"/>
          </w:tcPr>
          <w:p w14:paraId="1B4D7319">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054549BF">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049" w:type="dxa"/>
            <w:vAlign w:val="center"/>
          </w:tcPr>
          <w:p w14:paraId="4E2AD8B0">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7D4BF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72BFBF30">
            <w:pPr>
              <w:widowControl/>
              <w:jc w:val="left"/>
              <w:rPr>
                <w:rFonts w:hint="eastAsia" w:ascii="宋体" w:hAnsi="宋体" w:cs="宋体"/>
                <w:kern w:val="0"/>
                <w:sz w:val="18"/>
                <w:szCs w:val="18"/>
              </w:rPr>
            </w:pPr>
          </w:p>
        </w:tc>
        <w:tc>
          <w:tcPr>
            <w:tcW w:w="1451" w:type="dxa"/>
            <w:vAlign w:val="center"/>
          </w:tcPr>
          <w:p w14:paraId="41168D2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1931B643">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2329D872">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803" w:type="dxa"/>
            <w:vAlign w:val="center"/>
          </w:tcPr>
          <w:p w14:paraId="1761586C">
            <w:pPr>
              <w:widowControl/>
              <w:jc w:val="center"/>
              <w:rPr>
                <w:rFonts w:hint="eastAsia" w:ascii="宋体" w:hAnsi="宋体" w:cs="宋体"/>
                <w:kern w:val="0"/>
                <w:sz w:val="18"/>
                <w:szCs w:val="18"/>
              </w:rPr>
            </w:pPr>
            <w:r>
              <w:rPr>
                <w:rFonts w:hint="eastAsia" w:ascii="宋体" w:hAnsi="宋体" w:cs="宋体"/>
                <w:kern w:val="0"/>
                <w:sz w:val="18"/>
                <w:szCs w:val="18"/>
              </w:rPr>
              <w:t>3000≤Y＜30000</w:t>
            </w:r>
          </w:p>
        </w:tc>
        <w:tc>
          <w:tcPr>
            <w:tcW w:w="1511" w:type="dxa"/>
            <w:vAlign w:val="center"/>
          </w:tcPr>
          <w:p w14:paraId="0C89D3E5">
            <w:pPr>
              <w:widowControl/>
              <w:jc w:val="center"/>
              <w:rPr>
                <w:rFonts w:hint="eastAsia" w:ascii="宋体" w:hAnsi="宋体" w:cs="宋体"/>
                <w:kern w:val="0"/>
                <w:sz w:val="18"/>
                <w:szCs w:val="18"/>
              </w:rPr>
            </w:pPr>
            <w:r>
              <w:rPr>
                <w:rFonts w:hint="eastAsia" w:ascii="宋体" w:hAnsi="宋体" w:cs="宋体"/>
                <w:kern w:val="0"/>
                <w:sz w:val="18"/>
                <w:szCs w:val="18"/>
              </w:rPr>
              <w:t>200≤Y＜3000</w:t>
            </w:r>
          </w:p>
        </w:tc>
        <w:tc>
          <w:tcPr>
            <w:tcW w:w="1049" w:type="dxa"/>
            <w:vAlign w:val="center"/>
          </w:tcPr>
          <w:p w14:paraId="1E92B58F">
            <w:pPr>
              <w:widowControl/>
              <w:jc w:val="center"/>
              <w:rPr>
                <w:rFonts w:hint="eastAsia" w:ascii="宋体" w:hAnsi="宋体" w:cs="宋体"/>
                <w:kern w:val="0"/>
                <w:sz w:val="18"/>
                <w:szCs w:val="18"/>
              </w:rPr>
            </w:pPr>
            <w:r>
              <w:rPr>
                <w:rFonts w:hint="eastAsia" w:ascii="宋体" w:hAnsi="宋体" w:cs="宋体"/>
                <w:kern w:val="0"/>
                <w:sz w:val="18"/>
                <w:szCs w:val="18"/>
              </w:rPr>
              <w:t>Y＜200</w:t>
            </w:r>
          </w:p>
        </w:tc>
      </w:tr>
      <w:tr w14:paraId="5DACD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679E2EB3">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仓储业*</w:t>
            </w:r>
          </w:p>
        </w:tc>
        <w:tc>
          <w:tcPr>
            <w:tcW w:w="1451" w:type="dxa"/>
            <w:vAlign w:val="center"/>
          </w:tcPr>
          <w:p w14:paraId="3A7288C8">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56F62EE1">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3D715FDB">
            <w:pPr>
              <w:widowControl/>
              <w:jc w:val="center"/>
              <w:rPr>
                <w:rFonts w:hint="eastAsia" w:ascii="宋体" w:hAnsi="宋体" w:cs="宋体"/>
                <w:kern w:val="0"/>
                <w:sz w:val="18"/>
                <w:szCs w:val="18"/>
              </w:rPr>
            </w:pPr>
            <w:r>
              <w:rPr>
                <w:rFonts w:hint="eastAsia" w:ascii="宋体" w:hAnsi="宋体" w:cs="宋体"/>
                <w:kern w:val="0"/>
                <w:sz w:val="18"/>
                <w:szCs w:val="18"/>
              </w:rPr>
              <w:t>X≥200</w:t>
            </w:r>
          </w:p>
        </w:tc>
        <w:tc>
          <w:tcPr>
            <w:tcW w:w="1803" w:type="dxa"/>
            <w:vAlign w:val="center"/>
          </w:tcPr>
          <w:p w14:paraId="41772089">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100≤X＜200</w:t>
            </w:r>
          </w:p>
        </w:tc>
        <w:tc>
          <w:tcPr>
            <w:tcW w:w="1511" w:type="dxa"/>
            <w:vAlign w:val="center"/>
          </w:tcPr>
          <w:p w14:paraId="122808A8">
            <w:pPr>
              <w:widowControl/>
              <w:jc w:val="center"/>
              <w:rPr>
                <w:rFonts w:hint="eastAsia" w:ascii="宋体" w:hAnsi="宋体" w:cs="宋体"/>
                <w:kern w:val="0"/>
                <w:sz w:val="18"/>
                <w:szCs w:val="18"/>
              </w:rPr>
            </w:pPr>
            <w:r>
              <w:rPr>
                <w:rFonts w:hint="eastAsia" w:ascii="宋体" w:hAnsi="宋体" w:cs="宋体"/>
                <w:kern w:val="0"/>
                <w:sz w:val="18"/>
                <w:szCs w:val="18"/>
              </w:rPr>
              <w:t>20≤X＜100</w:t>
            </w:r>
          </w:p>
        </w:tc>
        <w:tc>
          <w:tcPr>
            <w:tcW w:w="1049" w:type="dxa"/>
            <w:vAlign w:val="center"/>
          </w:tcPr>
          <w:p w14:paraId="24E0C330">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260DB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BD096B5">
            <w:pPr>
              <w:widowControl/>
              <w:jc w:val="left"/>
              <w:rPr>
                <w:rFonts w:hint="eastAsia" w:ascii="宋体" w:hAnsi="宋体" w:cs="宋体"/>
                <w:kern w:val="0"/>
                <w:sz w:val="18"/>
                <w:szCs w:val="18"/>
              </w:rPr>
            </w:pPr>
          </w:p>
        </w:tc>
        <w:tc>
          <w:tcPr>
            <w:tcW w:w="1451" w:type="dxa"/>
            <w:vAlign w:val="center"/>
          </w:tcPr>
          <w:p w14:paraId="1C3277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72893A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AB47F00">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803" w:type="dxa"/>
            <w:vAlign w:val="center"/>
          </w:tcPr>
          <w:p w14:paraId="0978F1FA">
            <w:pPr>
              <w:widowControl/>
              <w:jc w:val="center"/>
              <w:rPr>
                <w:rFonts w:hint="eastAsia" w:ascii="宋体" w:hAnsi="宋体" w:cs="宋体"/>
                <w:kern w:val="0"/>
                <w:sz w:val="18"/>
                <w:szCs w:val="18"/>
              </w:rPr>
            </w:pPr>
            <w:r>
              <w:rPr>
                <w:rFonts w:hint="eastAsia" w:ascii="宋体" w:hAnsi="宋体" w:cs="宋体"/>
                <w:kern w:val="0"/>
                <w:sz w:val="18"/>
                <w:szCs w:val="18"/>
              </w:rPr>
              <w:t>1000≤Y＜30000</w:t>
            </w:r>
          </w:p>
        </w:tc>
        <w:tc>
          <w:tcPr>
            <w:tcW w:w="1511" w:type="dxa"/>
            <w:vAlign w:val="center"/>
          </w:tcPr>
          <w:p w14:paraId="7FE7C887">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7A04D288">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096C7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771B3EC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邮政业</w:t>
            </w:r>
          </w:p>
        </w:tc>
        <w:tc>
          <w:tcPr>
            <w:tcW w:w="1451" w:type="dxa"/>
            <w:vAlign w:val="center"/>
          </w:tcPr>
          <w:p w14:paraId="6B44E67B">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4D4AFCE3">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50D46236">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803" w:type="dxa"/>
            <w:vAlign w:val="center"/>
          </w:tcPr>
          <w:p w14:paraId="7EC891F9">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6F94EDEC">
            <w:pPr>
              <w:widowControl/>
              <w:jc w:val="center"/>
              <w:rPr>
                <w:rFonts w:hint="eastAsia" w:ascii="宋体" w:hAnsi="宋体" w:cs="宋体"/>
                <w:kern w:val="0"/>
                <w:sz w:val="18"/>
                <w:szCs w:val="18"/>
              </w:rPr>
            </w:pPr>
            <w:r>
              <w:rPr>
                <w:rFonts w:hint="eastAsia" w:ascii="宋体" w:hAnsi="宋体" w:cs="宋体"/>
                <w:kern w:val="0"/>
                <w:sz w:val="18"/>
                <w:szCs w:val="18"/>
              </w:rPr>
              <w:t>20≤X＜300</w:t>
            </w:r>
          </w:p>
        </w:tc>
        <w:tc>
          <w:tcPr>
            <w:tcW w:w="1049" w:type="dxa"/>
            <w:vAlign w:val="center"/>
          </w:tcPr>
          <w:p w14:paraId="3F78694D">
            <w:pPr>
              <w:widowControl/>
              <w:jc w:val="center"/>
              <w:rPr>
                <w:rFonts w:hint="eastAsia" w:ascii="宋体" w:hAnsi="宋体" w:cs="宋体"/>
                <w:kern w:val="0"/>
                <w:sz w:val="18"/>
                <w:szCs w:val="18"/>
              </w:rPr>
            </w:pPr>
            <w:r>
              <w:rPr>
                <w:rFonts w:hint="eastAsia" w:ascii="宋体" w:hAnsi="宋体" w:cs="宋体"/>
                <w:kern w:val="0"/>
                <w:sz w:val="18"/>
                <w:szCs w:val="18"/>
              </w:rPr>
              <w:t>X＜20</w:t>
            </w:r>
          </w:p>
        </w:tc>
      </w:tr>
      <w:tr w14:paraId="0CF86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223CB715">
            <w:pPr>
              <w:widowControl/>
              <w:jc w:val="left"/>
              <w:rPr>
                <w:rFonts w:hint="eastAsia" w:ascii="宋体" w:hAnsi="宋体" w:cs="宋体"/>
                <w:kern w:val="0"/>
                <w:sz w:val="18"/>
                <w:szCs w:val="18"/>
              </w:rPr>
            </w:pPr>
          </w:p>
        </w:tc>
        <w:tc>
          <w:tcPr>
            <w:tcW w:w="1451" w:type="dxa"/>
            <w:vAlign w:val="center"/>
          </w:tcPr>
          <w:p w14:paraId="0E48734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C7B2BAF">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C479796">
            <w:pPr>
              <w:widowControl/>
              <w:jc w:val="center"/>
              <w:rPr>
                <w:rFonts w:hint="eastAsia" w:ascii="宋体" w:hAnsi="宋体" w:cs="宋体"/>
                <w:kern w:val="0"/>
                <w:sz w:val="18"/>
                <w:szCs w:val="18"/>
              </w:rPr>
            </w:pPr>
            <w:r>
              <w:rPr>
                <w:rFonts w:hint="eastAsia" w:ascii="宋体" w:hAnsi="宋体" w:cs="宋体"/>
                <w:kern w:val="0"/>
                <w:sz w:val="18"/>
                <w:szCs w:val="18"/>
              </w:rPr>
              <w:t>Y≥30000</w:t>
            </w:r>
          </w:p>
        </w:tc>
        <w:tc>
          <w:tcPr>
            <w:tcW w:w="1803" w:type="dxa"/>
            <w:vAlign w:val="center"/>
          </w:tcPr>
          <w:p w14:paraId="118F4C7B">
            <w:pPr>
              <w:widowControl/>
              <w:jc w:val="center"/>
              <w:rPr>
                <w:rFonts w:hint="eastAsia" w:ascii="宋体" w:hAnsi="宋体" w:cs="宋体"/>
                <w:kern w:val="0"/>
                <w:sz w:val="18"/>
                <w:szCs w:val="18"/>
              </w:rPr>
            </w:pPr>
            <w:r>
              <w:rPr>
                <w:rFonts w:hint="eastAsia" w:ascii="宋体" w:hAnsi="宋体" w:cs="宋体"/>
                <w:kern w:val="0"/>
                <w:sz w:val="18"/>
                <w:szCs w:val="18"/>
              </w:rPr>
              <w:t>2000≤Y＜30000</w:t>
            </w:r>
          </w:p>
        </w:tc>
        <w:tc>
          <w:tcPr>
            <w:tcW w:w="1511" w:type="dxa"/>
            <w:vAlign w:val="center"/>
          </w:tcPr>
          <w:p w14:paraId="4175CF3E">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5F9C5F14">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1A827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1CC68A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住宿业</w:t>
            </w:r>
          </w:p>
        </w:tc>
        <w:tc>
          <w:tcPr>
            <w:tcW w:w="1451" w:type="dxa"/>
            <w:vAlign w:val="center"/>
          </w:tcPr>
          <w:p w14:paraId="09D6DD4E">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12F4B3A2">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509C0D77">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0DBD703D">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37879E1D">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68C9A316">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46ED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A91369E">
            <w:pPr>
              <w:widowControl/>
              <w:jc w:val="left"/>
              <w:rPr>
                <w:rFonts w:hint="eastAsia" w:ascii="宋体" w:hAnsi="宋体" w:cs="宋体"/>
                <w:kern w:val="0"/>
                <w:sz w:val="18"/>
                <w:szCs w:val="18"/>
              </w:rPr>
            </w:pPr>
          </w:p>
        </w:tc>
        <w:tc>
          <w:tcPr>
            <w:tcW w:w="1451" w:type="dxa"/>
            <w:vAlign w:val="center"/>
          </w:tcPr>
          <w:p w14:paraId="4FE9027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3910A2D7">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E43E580">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803" w:type="dxa"/>
            <w:vAlign w:val="center"/>
          </w:tcPr>
          <w:p w14:paraId="1DC83FB6">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2640E549">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22A8F5E4">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0426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31A4A217">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餐饮业</w:t>
            </w:r>
          </w:p>
        </w:tc>
        <w:tc>
          <w:tcPr>
            <w:tcW w:w="1451" w:type="dxa"/>
            <w:vAlign w:val="center"/>
          </w:tcPr>
          <w:p w14:paraId="13EB2599">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3F0E1EDF">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1BC32502">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286F88F5">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59E5E091">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62E4F20A">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7C3D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4F86561F">
            <w:pPr>
              <w:widowControl/>
              <w:jc w:val="left"/>
              <w:rPr>
                <w:rFonts w:hint="eastAsia" w:ascii="宋体" w:hAnsi="宋体" w:cs="宋体"/>
                <w:kern w:val="0"/>
                <w:sz w:val="18"/>
                <w:szCs w:val="18"/>
              </w:rPr>
            </w:pPr>
          </w:p>
        </w:tc>
        <w:tc>
          <w:tcPr>
            <w:tcW w:w="1451" w:type="dxa"/>
            <w:vAlign w:val="center"/>
          </w:tcPr>
          <w:p w14:paraId="6FA2CB7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53654749">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6F6CA371">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803" w:type="dxa"/>
            <w:vAlign w:val="center"/>
          </w:tcPr>
          <w:p w14:paraId="35C723C8">
            <w:pPr>
              <w:widowControl/>
              <w:jc w:val="center"/>
              <w:rPr>
                <w:rFonts w:hint="eastAsia" w:ascii="宋体" w:hAnsi="宋体" w:cs="宋体"/>
                <w:kern w:val="0"/>
                <w:sz w:val="18"/>
                <w:szCs w:val="18"/>
              </w:rPr>
            </w:pPr>
            <w:r>
              <w:rPr>
                <w:rFonts w:hint="eastAsia" w:ascii="宋体" w:hAnsi="宋体" w:cs="宋体"/>
                <w:kern w:val="0"/>
                <w:sz w:val="18"/>
                <w:szCs w:val="18"/>
              </w:rPr>
              <w:t>2000≤Y＜10000</w:t>
            </w:r>
          </w:p>
        </w:tc>
        <w:tc>
          <w:tcPr>
            <w:tcW w:w="1511" w:type="dxa"/>
            <w:vAlign w:val="center"/>
          </w:tcPr>
          <w:p w14:paraId="33B481B4">
            <w:pPr>
              <w:widowControl/>
              <w:jc w:val="center"/>
              <w:rPr>
                <w:rFonts w:hint="eastAsia" w:ascii="宋体" w:hAnsi="宋体" w:cs="宋体"/>
                <w:kern w:val="0"/>
                <w:sz w:val="18"/>
                <w:szCs w:val="18"/>
              </w:rPr>
            </w:pPr>
            <w:r>
              <w:rPr>
                <w:rFonts w:hint="eastAsia" w:ascii="宋体" w:hAnsi="宋体" w:cs="宋体"/>
                <w:kern w:val="0"/>
                <w:sz w:val="18"/>
                <w:szCs w:val="18"/>
              </w:rPr>
              <w:t>100≤Y＜2000</w:t>
            </w:r>
          </w:p>
        </w:tc>
        <w:tc>
          <w:tcPr>
            <w:tcW w:w="1049" w:type="dxa"/>
            <w:vAlign w:val="center"/>
          </w:tcPr>
          <w:p w14:paraId="2EE0AC43">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6FBF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restart"/>
            <w:vAlign w:val="center"/>
          </w:tcPr>
          <w:p w14:paraId="54CB8DFE">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信息传输业 *</w:t>
            </w:r>
          </w:p>
        </w:tc>
        <w:tc>
          <w:tcPr>
            <w:tcW w:w="1451" w:type="dxa"/>
            <w:vAlign w:val="center"/>
          </w:tcPr>
          <w:p w14:paraId="20132A0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1A3F5550">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0AB89597">
            <w:pPr>
              <w:widowControl/>
              <w:jc w:val="center"/>
              <w:rPr>
                <w:rFonts w:hint="eastAsia" w:ascii="宋体" w:hAnsi="宋体" w:cs="宋体"/>
                <w:kern w:val="0"/>
                <w:sz w:val="18"/>
                <w:szCs w:val="18"/>
              </w:rPr>
            </w:pPr>
            <w:r>
              <w:rPr>
                <w:rFonts w:hint="eastAsia" w:ascii="宋体" w:hAnsi="宋体" w:cs="宋体"/>
                <w:kern w:val="0"/>
                <w:sz w:val="18"/>
                <w:szCs w:val="18"/>
              </w:rPr>
              <w:t>X≥2000</w:t>
            </w:r>
          </w:p>
        </w:tc>
        <w:tc>
          <w:tcPr>
            <w:tcW w:w="1803" w:type="dxa"/>
            <w:vAlign w:val="center"/>
          </w:tcPr>
          <w:p w14:paraId="664F65D2">
            <w:pPr>
              <w:widowControl/>
              <w:jc w:val="center"/>
              <w:rPr>
                <w:rFonts w:hint="eastAsia" w:ascii="宋体" w:hAnsi="宋体" w:cs="宋体"/>
                <w:kern w:val="0"/>
                <w:sz w:val="18"/>
                <w:szCs w:val="18"/>
              </w:rPr>
            </w:pPr>
            <w:r>
              <w:rPr>
                <w:rFonts w:hint="eastAsia" w:ascii="宋体" w:hAnsi="宋体" w:cs="宋体"/>
                <w:kern w:val="0"/>
                <w:sz w:val="18"/>
                <w:szCs w:val="18"/>
              </w:rPr>
              <w:t>100≤X＜2000</w:t>
            </w:r>
          </w:p>
        </w:tc>
        <w:tc>
          <w:tcPr>
            <w:tcW w:w="1511" w:type="dxa"/>
            <w:vAlign w:val="center"/>
          </w:tcPr>
          <w:p w14:paraId="0F020A53">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5C52CE3E">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13484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Merge w:val="continue"/>
            <w:vAlign w:val="center"/>
          </w:tcPr>
          <w:p w14:paraId="107A26B7">
            <w:pPr>
              <w:widowControl/>
              <w:jc w:val="left"/>
              <w:rPr>
                <w:rFonts w:hint="eastAsia" w:ascii="宋体" w:hAnsi="宋体" w:cs="宋体"/>
                <w:kern w:val="0"/>
                <w:sz w:val="18"/>
                <w:szCs w:val="18"/>
              </w:rPr>
            </w:pPr>
          </w:p>
        </w:tc>
        <w:tc>
          <w:tcPr>
            <w:tcW w:w="1451" w:type="dxa"/>
            <w:vAlign w:val="center"/>
          </w:tcPr>
          <w:p w14:paraId="392BE71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44C2D92">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97D354B">
            <w:pPr>
              <w:widowControl/>
              <w:jc w:val="center"/>
              <w:rPr>
                <w:rFonts w:hint="eastAsia" w:ascii="宋体" w:hAnsi="宋体" w:cs="宋体"/>
                <w:kern w:val="0"/>
                <w:sz w:val="18"/>
                <w:szCs w:val="18"/>
              </w:rPr>
            </w:pPr>
            <w:r>
              <w:rPr>
                <w:rFonts w:hint="eastAsia" w:ascii="宋体" w:hAnsi="宋体" w:cs="宋体"/>
                <w:kern w:val="0"/>
                <w:sz w:val="18"/>
                <w:szCs w:val="18"/>
              </w:rPr>
              <w:t>Y≥100000</w:t>
            </w:r>
          </w:p>
        </w:tc>
        <w:tc>
          <w:tcPr>
            <w:tcW w:w="1803" w:type="dxa"/>
            <w:vAlign w:val="center"/>
          </w:tcPr>
          <w:p w14:paraId="337276BB">
            <w:pPr>
              <w:widowControl/>
              <w:jc w:val="center"/>
              <w:rPr>
                <w:rFonts w:hint="eastAsia" w:ascii="宋体" w:hAnsi="宋体" w:cs="宋体"/>
                <w:kern w:val="0"/>
                <w:sz w:val="18"/>
                <w:szCs w:val="18"/>
              </w:rPr>
            </w:pPr>
            <w:r>
              <w:rPr>
                <w:rFonts w:hint="eastAsia" w:ascii="宋体" w:hAnsi="宋体" w:cs="宋体"/>
                <w:kern w:val="0"/>
                <w:sz w:val="18"/>
                <w:szCs w:val="18"/>
              </w:rPr>
              <w:t>1000≤Y＜100000</w:t>
            </w:r>
          </w:p>
        </w:tc>
        <w:tc>
          <w:tcPr>
            <w:tcW w:w="1511" w:type="dxa"/>
            <w:vAlign w:val="center"/>
          </w:tcPr>
          <w:p w14:paraId="4941C0C5">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7A8D216D">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7901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6D728A7">
            <w:pPr>
              <w:widowControl/>
              <w:spacing w:line="240" w:lineRule="exact"/>
              <w:jc w:val="left"/>
              <w:rPr>
                <w:rFonts w:hint="eastAsia"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451" w:type="dxa"/>
            <w:vAlign w:val="center"/>
          </w:tcPr>
          <w:p w14:paraId="173F6DFB">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776AEB74">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5BD7C6F6">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7FF8B516">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 xml:space="preserve">100≤X＜300 </w:t>
            </w:r>
          </w:p>
        </w:tc>
        <w:tc>
          <w:tcPr>
            <w:tcW w:w="1511" w:type="dxa"/>
            <w:vAlign w:val="center"/>
          </w:tcPr>
          <w:p w14:paraId="03481883">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7FE11574">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5E59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37AAC70E">
            <w:pPr>
              <w:widowControl/>
              <w:jc w:val="left"/>
              <w:rPr>
                <w:rFonts w:hint="eastAsia" w:ascii="宋体" w:hAnsi="宋体" w:cs="宋体"/>
                <w:spacing w:val="-12"/>
                <w:kern w:val="0"/>
                <w:sz w:val="18"/>
                <w:szCs w:val="18"/>
              </w:rPr>
            </w:pPr>
          </w:p>
        </w:tc>
        <w:tc>
          <w:tcPr>
            <w:tcW w:w="1451" w:type="dxa"/>
            <w:vAlign w:val="center"/>
          </w:tcPr>
          <w:p w14:paraId="2DA333E3">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690A5019">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4BAFB79B">
            <w:pPr>
              <w:widowControl/>
              <w:jc w:val="center"/>
              <w:rPr>
                <w:rFonts w:hint="eastAsia" w:ascii="宋体" w:hAnsi="宋体" w:cs="宋体"/>
                <w:kern w:val="0"/>
                <w:sz w:val="18"/>
                <w:szCs w:val="18"/>
              </w:rPr>
            </w:pPr>
            <w:r>
              <w:rPr>
                <w:rFonts w:hint="eastAsia" w:ascii="宋体" w:hAnsi="宋体" w:cs="宋体"/>
                <w:kern w:val="0"/>
                <w:sz w:val="18"/>
                <w:szCs w:val="18"/>
              </w:rPr>
              <w:t>Y≥10000</w:t>
            </w:r>
          </w:p>
        </w:tc>
        <w:tc>
          <w:tcPr>
            <w:tcW w:w="1803" w:type="dxa"/>
            <w:vAlign w:val="center"/>
          </w:tcPr>
          <w:p w14:paraId="2F239E0F">
            <w:pPr>
              <w:widowControl/>
              <w:jc w:val="center"/>
              <w:rPr>
                <w:rFonts w:hint="eastAsia" w:ascii="宋体" w:hAnsi="宋体" w:cs="宋体"/>
                <w:kern w:val="0"/>
                <w:sz w:val="18"/>
                <w:szCs w:val="18"/>
              </w:rPr>
            </w:pPr>
            <w:r>
              <w:rPr>
                <w:rFonts w:hint="eastAsia" w:ascii="宋体" w:hAnsi="宋体" w:cs="宋体"/>
                <w:kern w:val="0"/>
                <w:sz w:val="18"/>
                <w:szCs w:val="18"/>
              </w:rPr>
              <w:t>1000≤Y＜10000</w:t>
            </w:r>
          </w:p>
        </w:tc>
        <w:tc>
          <w:tcPr>
            <w:tcW w:w="1511" w:type="dxa"/>
            <w:vAlign w:val="center"/>
          </w:tcPr>
          <w:p w14:paraId="04737CBF">
            <w:pPr>
              <w:widowControl/>
              <w:jc w:val="center"/>
              <w:rPr>
                <w:rFonts w:hint="eastAsia" w:ascii="宋体" w:hAnsi="宋体" w:cs="宋体"/>
                <w:kern w:val="0"/>
                <w:sz w:val="18"/>
                <w:szCs w:val="18"/>
              </w:rPr>
            </w:pPr>
            <w:r>
              <w:rPr>
                <w:rFonts w:hint="eastAsia" w:ascii="宋体" w:hAnsi="宋体" w:cs="宋体"/>
                <w:kern w:val="0"/>
                <w:sz w:val="18"/>
                <w:szCs w:val="18"/>
              </w:rPr>
              <w:t>50≤Y＜1000</w:t>
            </w:r>
          </w:p>
        </w:tc>
        <w:tc>
          <w:tcPr>
            <w:tcW w:w="1049" w:type="dxa"/>
            <w:vAlign w:val="center"/>
          </w:tcPr>
          <w:p w14:paraId="5D854FF3">
            <w:pPr>
              <w:widowControl/>
              <w:jc w:val="center"/>
              <w:rPr>
                <w:rFonts w:hint="eastAsia" w:ascii="宋体" w:hAnsi="宋体" w:cs="宋体"/>
                <w:kern w:val="0"/>
                <w:sz w:val="18"/>
                <w:szCs w:val="18"/>
              </w:rPr>
            </w:pPr>
            <w:r>
              <w:rPr>
                <w:rFonts w:hint="eastAsia" w:ascii="宋体" w:hAnsi="宋体" w:cs="宋体"/>
                <w:kern w:val="0"/>
                <w:sz w:val="18"/>
                <w:szCs w:val="18"/>
              </w:rPr>
              <w:t>Y＜50</w:t>
            </w:r>
          </w:p>
        </w:tc>
      </w:tr>
      <w:tr w14:paraId="1A403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19BBE127">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房地产开发经营</w:t>
            </w:r>
          </w:p>
        </w:tc>
        <w:tc>
          <w:tcPr>
            <w:tcW w:w="1451" w:type="dxa"/>
            <w:vAlign w:val="center"/>
          </w:tcPr>
          <w:p w14:paraId="57B96591">
            <w:pPr>
              <w:widowControl/>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7E7A41B1">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33371139">
            <w:pPr>
              <w:widowControl/>
              <w:jc w:val="center"/>
              <w:rPr>
                <w:rFonts w:hint="eastAsia" w:ascii="宋体" w:hAnsi="宋体" w:cs="宋体"/>
                <w:kern w:val="0"/>
                <w:sz w:val="18"/>
                <w:szCs w:val="18"/>
              </w:rPr>
            </w:pPr>
            <w:r>
              <w:rPr>
                <w:rFonts w:hint="eastAsia" w:ascii="宋体" w:hAnsi="宋体" w:cs="宋体"/>
                <w:kern w:val="0"/>
                <w:sz w:val="18"/>
                <w:szCs w:val="18"/>
              </w:rPr>
              <w:t>Y≥200000</w:t>
            </w:r>
          </w:p>
        </w:tc>
        <w:tc>
          <w:tcPr>
            <w:tcW w:w="1803" w:type="dxa"/>
            <w:vAlign w:val="center"/>
          </w:tcPr>
          <w:p w14:paraId="629C7D2A">
            <w:pPr>
              <w:widowControl/>
              <w:jc w:val="center"/>
              <w:rPr>
                <w:rFonts w:hint="eastAsia" w:ascii="宋体" w:hAnsi="宋体" w:cs="宋体"/>
                <w:kern w:val="0"/>
                <w:sz w:val="18"/>
                <w:szCs w:val="18"/>
              </w:rPr>
            </w:pPr>
            <w:r>
              <w:rPr>
                <w:rFonts w:hint="eastAsia" w:ascii="宋体" w:hAnsi="宋体" w:cs="宋体"/>
                <w:kern w:val="0"/>
                <w:sz w:val="18"/>
                <w:szCs w:val="18"/>
              </w:rPr>
              <w:t>1000≤Y＜200000</w:t>
            </w:r>
          </w:p>
        </w:tc>
        <w:tc>
          <w:tcPr>
            <w:tcW w:w="1511" w:type="dxa"/>
            <w:vAlign w:val="center"/>
          </w:tcPr>
          <w:p w14:paraId="287A9CB6">
            <w:pPr>
              <w:widowControl/>
              <w:jc w:val="center"/>
              <w:rPr>
                <w:rFonts w:hint="eastAsia" w:ascii="宋体" w:hAnsi="宋体" w:cs="宋体"/>
                <w:kern w:val="0"/>
                <w:sz w:val="18"/>
                <w:szCs w:val="18"/>
              </w:rPr>
            </w:pPr>
            <w:r>
              <w:rPr>
                <w:rFonts w:hint="eastAsia" w:ascii="宋体" w:hAnsi="宋体" w:cs="宋体"/>
                <w:kern w:val="0"/>
                <w:sz w:val="18"/>
                <w:szCs w:val="18"/>
              </w:rPr>
              <w:t>100≤Y＜1000</w:t>
            </w:r>
          </w:p>
        </w:tc>
        <w:tc>
          <w:tcPr>
            <w:tcW w:w="1049" w:type="dxa"/>
            <w:vAlign w:val="center"/>
          </w:tcPr>
          <w:p w14:paraId="02DAAD8A">
            <w:pPr>
              <w:widowControl/>
              <w:jc w:val="center"/>
              <w:rPr>
                <w:rFonts w:hint="eastAsia" w:ascii="宋体" w:hAnsi="宋体" w:cs="宋体"/>
                <w:kern w:val="0"/>
                <w:sz w:val="18"/>
                <w:szCs w:val="18"/>
              </w:rPr>
            </w:pPr>
            <w:r>
              <w:rPr>
                <w:rFonts w:hint="eastAsia" w:ascii="宋体" w:hAnsi="宋体" w:cs="宋体"/>
                <w:kern w:val="0"/>
                <w:sz w:val="18"/>
                <w:szCs w:val="18"/>
              </w:rPr>
              <w:t>Y＜100</w:t>
            </w:r>
          </w:p>
        </w:tc>
      </w:tr>
      <w:tr w14:paraId="7133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2D51A1A2">
            <w:pPr>
              <w:widowControl/>
              <w:jc w:val="left"/>
              <w:rPr>
                <w:rFonts w:hint="eastAsia" w:ascii="宋体" w:hAnsi="宋体" w:cs="宋体"/>
                <w:kern w:val="0"/>
                <w:sz w:val="18"/>
                <w:szCs w:val="18"/>
              </w:rPr>
            </w:pPr>
          </w:p>
        </w:tc>
        <w:tc>
          <w:tcPr>
            <w:tcW w:w="1451" w:type="dxa"/>
            <w:vAlign w:val="center"/>
          </w:tcPr>
          <w:p w14:paraId="2FB28411">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6E814D33">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17B933D">
            <w:pPr>
              <w:widowControl/>
              <w:jc w:val="center"/>
              <w:rPr>
                <w:rFonts w:hint="eastAsia" w:ascii="宋体" w:hAnsi="宋体" w:cs="宋体"/>
                <w:kern w:val="0"/>
                <w:sz w:val="18"/>
                <w:szCs w:val="18"/>
              </w:rPr>
            </w:pPr>
            <w:r>
              <w:rPr>
                <w:rFonts w:hint="eastAsia" w:ascii="宋体" w:hAnsi="宋体" w:cs="宋体"/>
                <w:kern w:val="0"/>
                <w:sz w:val="18"/>
                <w:szCs w:val="18"/>
              </w:rPr>
              <w:t>Z≥10000</w:t>
            </w:r>
          </w:p>
        </w:tc>
        <w:tc>
          <w:tcPr>
            <w:tcW w:w="1803" w:type="dxa"/>
            <w:vAlign w:val="center"/>
          </w:tcPr>
          <w:p w14:paraId="2CCC72CA">
            <w:pPr>
              <w:widowControl/>
              <w:jc w:val="center"/>
              <w:rPr>
                <w:rFonts w:hint="eastAsia" w:ascii="宋体" w:hAnsi="宋体" w:cs="宋体"/>
                <w:kern w:val="0"/>
                <w:sz w:val="18"/>
                <w:szCs w:val="18"/>
              </w:rPr>
            </w:pPr>
            <w:r>
              <w:rPr>
                <w:rFonts w:hint="eastAsia" w:ascii="宋体" w:hAnsi="宋体" w:cs="宋体"/>
                <w:kern w:val="0"/>
                <w:sz w:val="18"/>
                <w:szCs w:val="18"/>
              </w:rPr>
              <w:t>5000≤Z＜10000</w:t>
            </w:r>
          </w:p>
        </w:tc>
        <w:tc>
          <w:tcPr>
            <w:tcW w:w="1511" w:type="dxa"/>
            <w:vAlign w:val="center"/>
          </w:tcPr>
          <w:p w14:paraId="3A5C6AF4">
            <w:pPr>
              <w:widowControl/>
              <w:jc w:val="center"/>
              <w:rPr>
                <w:rFonts w:hint="eastAsia" w:ascii="宋体" w:hAnsi="宋体" w:cs="宋体"/>
                <w:kern w:val="0"/>
                <w:sz w:val="18"/>
                <w:szCs w:val="18"/>
              </w:rPr>
            </w:pPr>
            <w:r>
              <w:rPr>
                <w:rFonts w:hint="eastAsia" w:ascii="宋体" w:hAnsi="宋体" w:cs="宋体"/>
                <w:kern w:val="0"/>
                <w:sz w:val="18"/>
                <w:szCs w:val="18"/>
              </w:rPr>
              <w:t>2000≤Z＜5000</w:t>
            </w:r>
          </w:p>
        </w:tc>
        <w:tc>
          <w:tcPr>
            <w:tcW w:w="1049" w:type="dxa"/>
            <w:vAlign w:val="center"/>
          </w:tcPr>
          <w:p w14:paraId="067FD5A1">
            <w:pPr>
              <w:widowControl/>
              <w:jc w:val="center"/>
              <w:rPr>
                <w:rFonts w:hint="eastAsia" w:ascii="宋体" w:hAnsi="宋体" w:cs="宋体"/>
                <w:kern w:val="0"/>
                <w:sz w:val="18"/>
                <w:szCs w:val="18"/>
              </w:rPr>
            </w:pPr>
            <w:r>
              <w:rPr>
                <w:rFonts w:hint="eastAsia" w:ascii="宋体" w:hAnsi="宋体" w:cs="宋体"/>
                <w:kern w:val="0"/>
                <w:sz w:val="18"/>
                <w:szCs w:val="18"/>
              </w:rPr>
              <w:t>Z＜2000</w:t>
            </w:r>
          </w:p>
        </w:tc>
      </w:tr>
      <w:tr w14:paraId="7EAB1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56BCDFC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物业管理</w:t>
            </w:r>
          </w:p>
        </w:tc>
        <w:tc>
          <w:tcPr>
            <w:tcW w:w="1451" w:type="dxa"/>
            <w:vAlign w:val="center"/>
          </w:tcPr>
          <w:p w14:paraId="26E26429">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56294492">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0838806A">
            <w:pPr>
              <w:widowControl/>
              <w:jc w:val="center"/>
              <w:rPr>
                <w:rFonts w:hint="eastAsia" w:ascii="宋体" w:hAnsi="宋体" w:cs="宋体"/>
                <w:kern w:val="0"/>
                <w:sz w:val="18"/>
                <w:szCs w:val="18"/>
              </w:rPr>
            </w:pPr>
            <w:r>
              <w:rPr>
                <w:rFonts w:hint="eastAsia" w:ascii="宋体" w:hAnsi="宋体" w:cs="宋体"/>
                <w:kern w:val="0"/>
                <w:sz w:val="18"/>
                <w:szCs w:val="18"/>
              </w:rPr>
              <w:t>X≥1000</w:t>
            </w:r>
          </w:p>
        </w:tc>
        <w:tc>
          <w:tcPr>
            <w:tcW w:w="1803" w:type="dxa"/>
            <w:vAlign w:val="center"/>
          </w:tcPr>
          <w:p w14:paraId="7AA32125">
            <w:pPr>
              <w:widowControl/>
              <w:jc w:val="center"/>
              <w:rPr>
                <w:rFonts w:hint="eastAsia" w:ascii="宋体" w:hAnsi="宋体" w:cs="宋体"/>
                <w:kern w:val="0"/>
                <w:sz w:val="18"/>
                <w:szCs w:val="18"/>
              </w:rPr>
            </w:pPr>
            <w:r>
              <w:rPr>
                <w:rFonts w:hint="eastAsia" w:ascii="宋体" w:hAnsi="宋体" w:cs="宋体"/>
                <w:kern w:val="0"/>
                <w:sz w:val="18"/>
                <w:szCs w:val="18"/>
              </w:rPr>
              <w:t>300≤X＜1000</w:t>
            </w:r>
          </w:p>
        </w:tc>
        <w:tc>
          <w:tcPr>
            <w:tcW w:w="1511" w:type="dxa"/>
            <w:vAlign w:val="center"/>
          </w:tcPr>
          <w:p w14:paraId="5F3B82F3">
            <w:pPr>
              <w:widowControl/>
              <w:jc w:val="center"/>
              <w:rPr>
                <w:rFonts w:hint="eastAsia" w:ascii="宋体" w:hAnsi="宋体" w:cs="宋体"/>
                <w:kern w:val="0"/>
                <w:sz w:val="18"/>
                <w:szCs w:val="18"/>
              </w:rPr>
            </w:pPr>
            <w:r>
              <w:rPr>
                <w:rFonts w:hint="eastAsia" w:ascii="宋体" w:hAnsi="宋体" w:cs="宋体"/>
                <w:kern w:val="0"/>
                <w:sz w:val="18"/>
                <w:szCs w:val="18"/>
              </w:rPr>
              <w:t>100≤X＜300</w:t>
            </w:r>
          </w:p>
        </w:tc>
        <w:tc>
          <w:tcPr>
            <w:tcW w:w="1049" w:type="dxa"/>
            <w:vAlign w:val="center"/>
          </w:tcPr>
          <w:p w14:paraId="091B7D85">
            <w:pPr>
              <w:widowControl/>
              <w:jc w:val="center"/>
              <w:rPr>
                <w:rFonts w:hint="eastAsia" w:ascii="宋体" w:hAnsi="宋体" w:cs="宋体"/>
                <w:kern w:val="0"/>
                <w:sz w:val="18"/>
                <w:szCs w:val="18"/>
              </w:rPr>
            </w:pPr>
            <w:r>
              <w:rPr>
                <w:rFonts w:hint="eastAsia" w:ascii="宋体" w:hAnsi="宋体" w:cs="宋体"/>
                <w:kern w:val="0"/>
                <w:sz w:val="18"/>
                <w:szCs w:val="18"/>
              </w:rPr>
              <w:t>X＜100</w:t>
            </w:r>
          </w:p>
        </w:tc>
      </w:tr>
      <w:tr w14:paraId="5BFCC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4B5694F">
            <w:pPr>
              <w:widowControl/>
              <w:jc w:val="left"/>
              <w:rPr>
                <w:rFonts w:hint="eastAsia" w:ascii="宋体" w:hAnsi="宋体" w:cs="宋体"/>
                <w:kern w:val="0"/>
                <w:sz w:val="18"/>
                <w:szCs w:val="18"/>
              </w:rPr>
            </w:pPr>
          </w:p>
        </w:tc>
        <w:tc>
          <w:tcPr>
            <w:tcW w:w="1451" w:type="dxa"/>
            <w:vAlign w:val="center"/>
          </w:tcPr>
          <w:p w14:paraId="3E95A0A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营业收入(Y)</w:t>
            </w:r>
          </w:p>
        </w:tc>
        <w:tc>
          <w:tcPr>
            <w:tcW w:w="750" w:type="dxa"/>
            <w:vAlign w:val="center"/>
          </w:tcPr>
          <w:p w14:paraId="0D407C1D">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7DE6116A">
            <w:pPr>
              <w:widowControl/>
              <w:jc w:val="center"/>
              <w:rPr>
                <w:rFonts w:hint="eastAsia" w:ascii="宋体" w:hAnsi="宋体" w:cs="宋体"/>
                <w:kern w:val="0"/>
                <w:sz w:val="18"/>
                <w:szCs w:val="18"/>
              </w:rPr>
            </w:pPr>
            <w:r>
              <w:rPr>
                <w:rFonts w:hint="eastAsia" w:ascii="宋体" w:hAnsi="宋体" w:cs="宋体"/>
                <w:kern w:val="0"/>
                <w:sz w:val="18"/>
                <w:szCs w:val="18"/>
              </w:rPr>
              <w:t>Y≥5000</w:t>
            </w:r>
          </w:p>
        </w:tc>
        <w:tc>
          <w:tcPr>
            <w:tcW w:w="1803" w:type="dxa"/>
            <w:vAlign w:val="center"/>
          </w:tcPr>
          <w:p w14:paraId="7E370824">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1000≤Y＜5000</w:t>
            </w:r>
          </w:p>
        </w:tc>
        <w:tc>
          <w:tcPr>
            <w:tcW w:w="1511" w:type="dxa"/>
            <w:vAlign w:val="center"/>
          </w:tcPr>
          <w:p w14:paraId="20403801">
            <w:pPr>
              <w:widowControl/>
              <w:jc w:val="center"/>
              <w:rPr>
                <w:rFonts w:hint="eastAsia" w:ascii="宋体" w:hAnsi="宋体" w:cs="宋体"/>
                <w:kern w:val="0"/>
                <w:sz w:val="18"/>
                <w:szCs w:val="18"/>
              </w:rPr>
            </w:pPr>
            <w:r>
              <w:rPr>
                <w:rFonts w:hint="eastAsia" w:ascii="宋体" w:hAnsi="宋体" w:cs="宋体"/>
                <w:kern w:val="0"/>
                <w:sz w:val="18"/>
                <w:szCs w:val="18"/>
              </w:rPr>
              <w:t>500≤Y＜1000</w:t>
            </w:r>
          </w:p>
        </w:tc>
        <w:tc>
          <w:tcPr>
            <w:tcW w:w="1049" w:type="dxa"/>
            <w:vAlign w:val="center"/>
          </w:tcPr>
          <w:p w14:paraId="5AB139A1">
            <w:pPr>
              <w:widowControl/>
              <w:jc w:val="center"/>
              <w:rPr>
                <w:rFonts w:hint="eastAsia" w:ascii="宋体" w:hAnsi="宋体" w:cs="宋体"/>
                <w:kern w:val="0"/>
                <w:sz w:val="18"/>
                <w:szCs w:val="18"/>
              </w:rPr>
            </w:pPr>
            <w:r>
              <w:rPr>
                <w:rFonts w:hint="eastAsia" w:ascii="宋体" w:hAnsi="宋体" w:cs="宋体"/>
                <w:kern w:val="0"/>
                <w:sz w:val="18"/>
                <w:szCs w:val="18"/>
              </w:rPr>
              <w:t>Y＜500</w:t>
            </w:r>
          </w:p>
        </w:tc>
      </w:tr>
      <w:tr w14:paraId="289C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restart"/>
            <w:vAlign w:val="center"/>
          </w:tcPr>
          <w:p w14:paraId="0BC46E51">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租赁和商务服务业</w:t>
            </w:r>
          </w:p>
        </w:tc>
        <w:tc>
          <w:tcPr>
            <w:tcW w:w="1451" w:type="dxa"/>
            <w:vAlign w:val="center"/>
          </w:tcPr>
          <w:p w14:paraId="09C8C1E4">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75C2FE99">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54AE2B51">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38C0A675">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51BE9CC9">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1891B366">
            <w:pPr>
              <w:widowControl/>
              <w:jc w:val="center"/>
              <w:rPr>
                <w:rFonts w:hint="eastAsia" w:ascii="宋体" w:hAnsi="宋体" w:cs="宋体"/>
                <w:kern w:val="0"/>
                <w:sz w:val="18"/>
                <w:szCs w:val="18"/>
              </w:rPr>
            </w:pPr>
            <w:r>
              <w:rPr>
                <w:rFonts w:hint="eastAsia" w:ascii="宋体" w:hAnsi="宋体" w:cs="宋体"/>
                <w:kern w:val="0"/>
                <w:sz w:val="18"/>
                <w:szCs w:val="18"/>
              </w:rPr>
              <w:t>X＜10</w:t>
            </w:r>
          </w:p>
        </w:tc>
      </w:tr>
      <w:tr w14:paraId="0A23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847" w:type="dxa"/>
            <w:vMerge w:val="continue"/>
            <w:vAlign w:val="center"/>
          </w:tcPr>
          <w:p w14:paraId="0465A867">
            <w:pPr>
              <w:widowControl/>
              <w:jc w:val="left"/>
              <w:rPr>
                <w:rFonts w:hint="eastAsia" w:ascii="宋体" w:hAnsi="宋体" w:cs="宋体"/>
                <w:kern w:val="0"/>
                <w:sz w:val="18"/>
                <w:szCs w:val="18"/>
              </w:rPr>
            </w:pPr>
          </w:p>
        </w:tc>
        <w:tc>
          <w:tcPr>
            <w:tcW w:w="1451" w:type="dxa"/>
            <w:vAlign w:val="center"/>
          </w:tcPr>
          <w:p w14:paraId="4AFA1B3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资产总额(Z)</w:t>
            </w:r>
          </w:p>
        </w:tc>
        <w:tc>
          <w:tcPr>
            <w:tcW w:w="750" w:type="dxa"/>
            <w:vAlign w:val="center"/>
          </w:tcPr>
          <w:p w14:paraId="77F39FE4">
            <w:pPr>
              <w:widowControl/>
              <w:jc w:val="center"/>
              <w:rPr>
                <w:rFonts w:hint="eastAsia" w:ascii="宋体" w:hAnsi="宋体" w:cs="宋体"/>
                <w:kern w:val="0"/>
                <w:sz w:val="18"/>
                <w:szCs w:val="18"/>
              </w:rPr>
            </w:pPr>
            <w:r>
              <w:rPr>
                <w:rFonts w:hint="eastAsia" w:ascii="宋体" w:hAnsi="宋体" w:cs="宋体"/>
                <w:kern w:val="0"/>
                <w:sz w:val="18"/>
                <w:szCs w:val="18"/>
              </w:rPr>
              <w:t>万元</w:t>
            </w:r>
          </w:p>
        </w:tc>
        <w:tc>
          <w:tcPr>
            <w:tcW w:w="1191" w:type="dxa"/>
            <w:vAlign w:val="center"/>
          </w:tcPr>
          <w:p w14:paraId="5849D886">
            <w:pPr>
              <w:widowControl/>
              <w:jc w:val="center"/>
              <w:rPr>
                <w:rFonts w:hint="eastAsia" w:ascii="宋体" w:hAnsi="宋体" w:cs="宋体"/>
                <w:kern w:val="0"/>
                <w:sz w:val="18"/>
                <w:szCs w:val="18"/>
              </w:rPr>
            </w:pPr>
            <w:r>
              <w:rPr>
                <w:rFonts w:hint="eastAsia" w:ascii="宋体" w:hAnsi="宋体" w:cs="宋体"/>
                <w:kern w:val="0"/>
                <w:sz w:val="18"/>
                <w:szCs w:val="18"/>
              </w:rPr>
              <w:t>Z≥120000</w:t>
            </w:r>
          </w:p>
        </w:tc>
        <w:tc>
          <w:tcPr>
            <w:tcW w:w="1803" w:type="dxa"/>
            <w:vAlign w:val="center"/>
          </w:tcPr>
          <w:p w14:paraId="24047FB2">
            <w:pPr>
              <w:widowControl/>
              <w:jc w:val="center"/>
              <w:rPr>
                <w:rFonts w:hint="eastAsia" w:ascii="宋体" w:hAnsi="宋体" w:cs="宋体"/>
                <w:kern w:val="0"/>
                <w:sz w:val="18"/>
                <w:szCs w:val="18"/>
              </w:rPr>
            </w:pPr>
            <w:r>
              <w:rPr>
                <w:rFonts w:hint="eastAsia" w:ascii="宋体" w:hAnsi="宋体" w:cs="宋体"/>
                <w:kern w:val="0"/>
                <w:sz w:val="18"/>
                <w:szCs w:val="18"/>
              </w:rPr>
              <w:t>8000≤Z＜120000</w:t>
            </w:r>
          </w:p>
        </w:tc>
        <w:tc>
          <w:tcPr>
            <w:tcW w:w="1511" w:type="dxa"/>
            <w:vAlign w:val="center"/>
          </w:tcPr>
          <w:p w14:paraId="5BA3A289">
            <w:pPr>
              <w:widowControl/>
              <w:jc w:val="center"/>
              <w:rPr>
                <w:rFonts w:hint="eastAsia" w:ascii="宋体" w:hAnsi="宋体" w:cs="宋体"/>
                <w:kern w:val="0"/>
                <w:sz w:val="18"/>
                <w:szCs w:val="18"/>
              </w:rPr>
            </w:pPr>
            <w:r>
              <w:rPr>
                <w:rFonts w:hint="eastAsia" w:ascii="宋体" w:hAnsi="宋体" w:cs="宋体"/>
                <w:kern w:val="0"/>
                <w:sz w:val="18"/>
                <w:szCs w:val="18"/>
              </w:rPr>
              <w:t>100≤Z＜8000</w:t>
            </w:r>
          </w:p>
        </w:tc>
        <w:tc>
          <w:tcPr>
            <w:tcW w:w="1049" w:type="dxa"/>
            <w:vAlign w:val="center"/>
          </w:tcPr>
          <w:p w14:paraId="2F9F3790">
            <w:pPr>
              <w:widowControl/>
              <w:jc w:val="center"/>
              <w:rPr>
                <w:rFonts w:hint="eastAsia" w:ascii="宋体" w:hAnsi="宋体" w:cs="宋体"/>
                <w:kern w:val="0"/>
                <w:sz w:val="18"/>
                <w:szCs w:val="18"/>
              </w:rPr>
            </w:pPr>
            <w:r>
              <w:rPr>
                <w:rFonts w:hint="eastAsia" w:ascii="宋体" w:hAnsi="宋体" w:cs="宋体"/>
                <w:kern w:val="0"/>
                <w:sz w:val="18"/>
                <w:szCs w:val="18"/>
              </w:rPr>
              <w:t>Z＜100</w:t>
            </w:r>
          </w:p>
        </w:tc>
      </w:tr>
      <w:tr w14:paraId="6A99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847" w:type="dxa"/>
            <w:vAlign w:val="center"/>
          </w:tcPr>
          <w:p w14:paraId="0B66304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其他未列明行业 *</w:t>
            </w:r>
          </w:p>
        </w:tc>
        <w:tc>
          <w:tcPr>
            <w:tcW w:w="1451" w:type="dxa"/>
            <w:vAlign w:val="center"/>
          </w:tcPr>
          <w:p w14:paraId="6A565AB2">
            <w:pPr>
              <w:widowControl/>
              <w:jc w:val="center"/>
              <w:rPr>
                <w:rFonts w:hint="eastAsia" w:ascii="宋体" w:hAnsi="宋体" w:cs="宋体"/>
                <w:kern w:val="0"/>
                <w:sz w:val="18"/>
                <w:szCs w:val="18"/>
              </w:rPr>
            </w:pPr>
            <w:r>
              <w:rPr>
                <w:rFonts w:hint="eastAsia" w:ascii="宋体" w:hAnsi="宋体" w:cs="宋体"/>
                <w:kern w:val="0"/>
                <w:sz w:val="18"/>
                <w:szCs w:val="18"/>
              </w:rPr>
              <w:t>从业人员(X)</w:t>
            </w:r>
          </w:p>
        </w:tc>
        <w:tc>
          <w:tcPr>
            <w:tcW w:w="750" w:type="dxa"/>
            <w:vAlign w:val="center"/>
          </w:tcPr>
          <w:p w14:paraId="0DE24F23">
            <w:pPr>
              <w:widowControl/>
              <w:jc w:val="center"/>
              <w:rPr>
                <w:rFonts w:hint="eastAsia" w:ascii="宋体" w:hAnsi="宋体" w:cs="宋体"/>
                <w:kern w:val="0"/>
                <w:sz w:val="18"/>
                <w:szCs w:val="18"/>
              </w:rPr>
            </w:pPr>
            <w:r>
              <w:rPr>
                <w:rFonts w:hint="eastAsia" w:ascii="宋体" w:hAnsi="宋体" w:cs="宋体"/>
                <w:kern w:val="0"/>
                <w:sz w:val="18"/>
                <w:szCs w:val="18"/>
              </w:rPr>
              <w:t>人</w:t>
            </w:r>
          </w:p>
        </w:tc>
        <w:tc>
          <w:tcPr>
            <w:tcW w:w="1191" w:type="dxa"/>
            <w:vAlign w:val="center"/>
          </w:tcPr>
          <w:p w14:paraId="3E02977B">
            <w:pPr>
              <w:widowControl/>
              <w:jc w:val="center"/>
              <w:rPr>
                <w:rFonts w:hint="eastAsia" w:ascii="宋体" w:hAnsi="宋体" w:cs="宋体"/>
                <w:kern w:val="0"/>
                <w:sz w:val="18"/>
                <w:szCs w:val="18"/>
              </w:rPr>
            </w:pPr>
            <w:r>
              <w:rPr>
                <w:rFonts w:hint="eastAsia" w:ascii="宋体" w:hAnsi="宋体" w:cs="宋体"/>
                <w:kern w:val="0"/>
                <w:sz w:val="18"/>
                <w:szCs w:val="18"/>
              </w:rPr>
              <w:t>X≥300</w:t>
            </w:r>
          </w:p>
        </w:tc>
        <w:tc>
          <w:tcPr>
            <w:tcW w:w="1803" w:type="dxa"/>
            <w:vAlign w:val="center"/>
          </w:tcPr>
          <w:p w14:paraId="047A1225">
            <w:pPr>
              <w:widowControl/>
              <w:ind w:left="1" w:leftChars="-51" w:hanging="108" w:hangingChars="60"/>
              <w:jc w:val="center"/>
              <w:rPr>
                <w:rFonts w:hint="eastAsia" w:ascii="宋体" w:hAnsi="宋体" w:cs="宋体"/>
                <w:kern w:val="0"/>
                <w:sz w:val="18"/>
                <w:szCs w:val="18"/>
              </w:rPr>
            </w:pPr>
            <w:r>
              <w:rPr>
                <w:rFonts w:hint="eastAsia" w:ascii="宋体" w:hAnsi="宋体" w:cs="宋体"/>
                <w:kern w:val="0"/>
                <w:sz w:val="18"/>
                <w:szCs w:val="18"/>
              </w:rPr>
              <w:t>100≤X＜300</w:t>
            </w:r>
          </w:p>
        </w:tc>
        <w:tc>
          <w:tcPr>
            <w:tcW w:w="1511" w:type="dxa"/>
            <w:vAlign w:val="center"/>
          </w:tcPr>
          <w:p w14:paraId="5A16BB5B">
            <w:pPr>
              <w:widowControl/>
              <w:jc w:val="center"/>
              <w:rPr>
                <w:rFonts w:hint="eastAsia" w:ascii="宋体" w:hAnsi="宋体" w:cs="宋体"/>
                <w:kern w:val="0"/>
                <w:sz w:val="18"/>
                <w:szCs w:val="18"/>
              </w:rPr>
            </w:pPr>
            <w:r>
              <w:rPr>
                <w:rFonts w:hint="eastAsia" w:ascii="宋体" w:hAnsi="宋体" w:cs="宋体"/>
                <w:kern w:val="0"/>
                <w:sz w:val="18"/>
                <w:szCs w:val="18"/>
              </w:rPr>
              <w:t>10≤X＜100</w:t>
            </w:r>
          </w:p>
        </w:tc>
        <w:tc>
          <w:tcPr>
            <w:tcW w:w="1049" w:type="dxa"/>
            <w:vAlign w:val="center"/>
          </w:tcPr>
          <w:p w14:paraId="351E6874">
            <w:pPr>
              <w:widowControl/>
              <w:jc w:val="center"/>
              <w:rPr>
                <w:rFonts w:hint="eastAsia" w:ascii="宋体" w:hAnsi="宋体" w:cs="宋体"/>
                <w:kern w:val="0"/>
                <w:sz w:val="18"/>
                <w:szCs w:val="18"/>
              </w:rPr>
            </w:pPr>
            <w:r>
              <w:rPr>
                <w:rFonts w:hint="eastAsia" w:ascii="宋体" w:hAnsi="宋体" w:cs="宋体"/>
                <w:kern w:val="0"/>
                <w:sz w:val="18"/>
                <w:szCs w:val="18"/>
              </w:rPr>
              <w:t>X＜10</w:t>
            </w:r>
          </w:p>
        </w:tc>
      </w:tr>
    </w:tbl>
    <w:p w14:paraId="2E530B7E">
      <w:pPr>
        <w:widowControl/>
        <w:spacing w:line="540" w:lineRule="exact"/>
        <w:rPr>
          <w:rFonts w:hint="eastAsia" w:ascii="宋体" w:hAnsi="宋体" w:cs="宋体"/>
          <w:spacing w:val="8"/>
          <w:kern w:val="0"/>
          <w:szCs w:val="21"/>
        </w:rPr>
      </w:pPr>
      <w:r>
        <w:rPr>
          <w:rFonts w:hint="eastAsia" w:ascii="宋体" w:hAnsi="宋体" w:cs="宋体"/>
          <w:spacing w:val="8"/>
          <w:kern w:val="0"/>
          <w:szCs w:val="21"/>
        </w:rPr>
        <w:t>说明：</w:t>
      </w:r>
    </w:p>
    <w:p w14:paraId="42EC9DC4">
      <w:pPr>
        <w:pStyle w:val="11"/>
        <w:adjustRightInd w:val="0"/>
        <w:spacing w:line="380" w:lineRule="exact"/>
        <w:ind w:firstLine="452" w:firstLineChars="200"/>
        <w:contextualSpacing/>
        <w:rPr>
          <w:rFonts w:hint="eastAsia" w:hAnsi="宋体" w:cs="宋体"/>
          <w:spacing w:val="8"/>
          <w:kern w:val="0"/>
        </w:rPr>
      </w:pPr>
      <w:r>
        <w:rPr>
          <w:rFonts w:hint="eastAsia" w:hAnsi="宋体" w:cs="宋体"/>
          <w:spacing w:val="8"/>
          <w:kern w:val="0"/>
        </w:rPr>
        <w:t>1.大型、中型和小型企业须同时满足所列指标的下限，否则下划一档；微型企业只须满足所列指标中的一项即可。</w:t>
      </w:r>
    </w:p>
    <w:p w14:paraId="0A6D3C80">
      <w:pPr>
        <w:pStyle w:val="11"/>
        <w:adjustRightInd w:val="0"/>
        <w:spacing w:line="380" w:lineRule="exact"/>
        <w:ind w:firstLine="452" w:firstLineChars="200"/>
        <w:contextualSpacing/>
        <w:rPr>
          <w:rFonts w:hint="eastAsia" w:hAnsi="宋体" w:cs="宋体"/>
          <w:spacing w:val="8"/>
          <w:kern w:val="0"/>
        </w:rPr>
      </w:pPr>
      <w:r>
        <w:rPr>
          <w:rFonts w:hint="eastAsia" w:hAnsi="宋体" w:cs="宋体"/>
          <w:spacing w:val="8"/>
          <w:kern w:val="0"/>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1BB6BB3E">
      <w:pPr>
        <w:pStyle w:val="11"/>
        <w:adjustRightInd w:val="0"/>
        <w:spacing w:line="380" w:lineRule="exact"/>
        <w:ind w:firstLine="452" w:firstLineChars="200"/>
        <w:contextualSpacing/>
        <w:rPr>
          <w:rFonts w:hint="eastAsia" w:hAnsi="宋体" w:cs="宋体"/>
          <w:bCs/>
        </w:rPr>
      </w:pPr>
      <w:r>
        <w:rPr>
          <w:rFonts w:hint="eastAsia" w:hAnsi="宋体" w:cs="宋体"/>
          <w:spacing w:val="8"/>
          <w:kern w:val="0"/>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4C39EA9A">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②残疾人福利性单位声明函；</w:t>
      </w:r>
    </w:p>
    <w:p w14:paraId="64E9EECF">
      <w:pPr>
        <w:jc w:val="center"/>
        <w:rPr>
          <w:rFonts w:hint="eastAsia" w:ascii="宋体" w:hAnsi="宋体" w:cs="宋体"/>
          <w:sz w:val="24"/>
        </w:rPr>
      </w:pPr>
    </w:p>
    <w:p w14:paraId="7D7B655F">
      <w:pPr>
        <w:jc w:val="center"/>
        <w:rPr>
          <w:rFonts w:hint="eastAsia" w:ascii="仿宋" w:hAnsi="仿宋" w:eastAsia="仿宋" w:cs="仿宋"/>
          <w:spacing w:val="6"/>
          <w:szCs w:val="21"/>
        </w:rPr>
      </w:pPr>
      <w:r>
        <w:rPr>
          <w:rFonts w:hint="eastAsia" w:ascii="宋体" w:hAnsi="宋体" w:cs="宋体"/>
          <w:sz w:val="24"/>
        </w:rPr>
        <w:t>②</w:t>
      </w:r>
      <w:r>
        <w:rPr>
          <w:rFonts w:hint="eastAsia" w:ascii="仿宋" w:hAnsi="仿宋" w:eastAsia="仿宋" w:cs="仿宋"/>
          <w:b/>
          <w:bCs/>
          <w:sz w:val="28"/>
          <w:szCs w:val="28"/>
        </w:rPr>
        <w:t>残疾人福利性单位声明函</w:t>
      </w:r>
    </w:p>
    <w:p w14:paraId="01ECD61E">
      <w:pPr>
        <w:spacing w:line="588" w:lineRule="exact"/>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本单位郑重声明，根据《财政部 民政部 中国残疾人联合会关于促进残疾人就业政府采购政策的通知》（财库</w:t>
      </w:r>
      <w:r>
        <w:rPr>
          <w:rFonts w:hint="eastAsia" w:ascii="仿宋" w:hAnsi="仿宋" w:eastAsia="仿宋" w:cs="仿宋"/>
          <w:szCs w:val="21"/>
        </w:rPr>
        <w:t>〔2017〕141</w:t>
      </w:r>
      <w:r>
        <w:rPr>
          <w:rFonts w:hint="eastAsia" w:ascii="仿宋" w:hAnsi="仿宋" w:eastAsia="仿宋" w:cs="仿宋"/>
          <w:spacing w:val="6"/>
          <w:szCs w:val="21"/>
        </w:rPr>
        <w:t>号）的规定，本单位为符合条件的残疾人福利性单位，且本单位参加</w:t>
      </w:r>
      <w:r>
        <w:rPr>
          <w:rFonts w:hint="eastAsia" w:ascii="仿宋" w:hAnsi="仿宋" w:eastAsia="仿宋" w:cs="仿宋"/>
          <w:spacing w:val="6"/>
          <w:szCs w:val="21"/>
          <w:u w:val="single"/>
        </w:rPr>
        <w:t xml:space="preserve">     </w:t>
      </w:r>
      <w:r>
        <w:rPr>
          <w:rFonts w:hint="eastAsia" w:ascii="仿宋" w:hAnsi="仿宋" w:eastAsia="仿宋" w:cs="仿宋"/>
          <w:spacing w:val="6"/>
          <w:szCs w:val="21"/>
        </w:rPr>
        <w:t>单位的</w:t>
      </w:r>
      <w:r>
        <w:rPr>
          <w:rFonts w:hint="eastAsia" w:ascii="仿宋" w:hAnsi="仿宋" w:eastAsia="仿宋" w:cs="仿宋"/>
          <w:spacing w:val="6"/>
          <w:szCs w:val="21"/>
          <w:u w:val="single"/>
        </w:rPr>
        <w:t xml:space="preserve">     </w:t>
      </w:r>
      <w:r>
        <w:rPr>
          <w:rFonts w:hint="eastAsia" w:ascii="仿宋" w:hAnsi="仿宋" w:eastAsia="仿宋" w:cs="仿宋"/>
          <w:spacing w:val="6"/>
          <w:szCs w:val="21"/>
        </w:rPr>
        <w:t>项目采购活动提供本单位制造的货物（由本单位承担工程/提供服务），或者提供其他残疾人福利性单位制造的货物（不包括使用非残疾人福利性单位注册商标的货物）。</w:t>
      </w:r>
    </w:p>
    <w:p w14:paraId="75DEDFE3">
      <w:pPr>
        <w:spacing w:line="588" w:lineRule="exact"/>
        <w:ind w:firstLine="444" w:firstLineChars="200"/>
        <w:rPr>
          <w:rFonts w:hint="eastAsia" w:ascii="仿宋" w:hAnsi="仿宋" w:eastAsia="仿宋" w:cs="仿宋"/>
          <w:spacing w:val="6"/>
          <w:szCs w:val="21"/>
        </w:rPr>
      </w:pPr>
      <w:r>
        <w:rPr>
          <w:rFonts w:hint="eastAsia" w:ascii="仿宋" w:hAnsi="仿宋" w:eastAsia="仿宋" w:cs="仿宋"/>
          <w:spacing w:val="6"/>
          <w:szCs w:val="21"/>
        </w:rPr>
        <w:t>本单位对上述声明的真实性负责。如有虚假，将依法承担相应责任。</w:t>
      </w:r>
    </w:p>
    <w:p w14:paraId="02400101">
      <w:pPr>
        <w:tabs>
          <w:tab w:val="left" w:pos="4860"/>
        </w:tabs>
        <w:spacing w:line="588" w:lineRule="exact"/>
        <w:ind w:right="1560" w:firstLine="444" w:firstLineChars="200"/>
        <w:jc w:val="center"/>
        <w:rPr>
          <w:rFonts w:hint="eastAsia" w:ascii="仿宋" w:hAnsi="仿宋" w:eastAsia="仿宋" w:cs="仿宋"/>
          <w:spacing w:val="6"/>
          <w:szCs w:val="21"/>
        </w:rPr>
      </w:pPr>
      <w:r>
        <w:rPr>
          <w:rFonts w:hint="eastAsia" w:ascii="仿宋" w:hAnsi="仿宋" w:eastAsia="仿宋" w:cs="仿宋"/>
          <w:spacing w:val="6"/>
          <w:szCs w:val="21"/>
        </w:rPr>
        <w:t xml:space="preserve">                                          </w:t>
      </w:r>
    </w:p>
    <w:p w14:paraId="6C733F61">
      <w:pPr>
        <w:pStyle w:val="11"/>
        <w:ind w:firstLine="3885" w:firstLineChars="1850"/>
        <w:rPr>
          <w:rFonts w:hint="eastAsia" w:ascii="仿宋" w:hAnsi="仿宋" w:eastAsia="仿宋" w:cs="仿宋"/>
        </w:rPr>
      </w:pPr>
      <w:r>
        <w:rPr>
          <w:rFonts w:hint="eastAsia" w:ascii="仿宋" w:hAnsi="仿宋" w:eastAsia="仿宋" w:cs="仿宋"/>
        </w:rPr>
        <w:t>　投标人（</w:t>
      </w:r>
      <w:r>
        <w:rPr>
          <w:rFonts w:hint="eastAsia" w:ascii="仿宋" w:hAnsi="仿宋" w:eastAsia="仿宋" w:cs="仿宋"/>
          <w:b/>
          <w:bCs/>
        </w:rPr>
        <w:t>公章</w:t>
      </w:r>
      <w:r>
        <w:rPr>
          <w:rFonts w:hint="eastAsia" w:ascii="仿宋" w:hAnsi="仿宋" w:eastAsia="仿宋" w:cs="仿宋"/>
        </w:rPr>
        <w:t>）</w:t>
      </w:r>
      <w:r>
        <w:rPr>
          <w:rFonts w:hint="eastAsia" w:ascii="仿宋" w:hAnsi="仿宋" w:eastAsia="仿宋" w:cs="仿宋"/>
          <w:u w:val="single"/>
        </w:rPr>
        <w:t xml:space="preserve">                                   </w:t>
      </w:r>
    </w:p>
    <w:p w14:paraId="1C53590A">
      <w:pPr>
        <w:pStyle w:val="11"/>
        <w:rPr>
          <w:rFonts w:hint="eastAsia" w:ascii="仿宋" w:hAnsi="仿宋" w:eastAsia="仿宋" w:cs="仿宋"/>
        </w:rPr>
      </w:pPr>
    </w:p>
    <w:p w14:paraId="448B954C">
      <w:pPr>
        <w:jc w:val="center"/>
        <w:rPr>
          <w:rFonts w:hint="eastAsia" w:ascii="仿宋" w:hAnsi="仿宋" w:eastAsia="仿宋" w:cs="仿宋"/>
          <w:szCs w:val="21"/>
        </w:rPr>
      </w:pPr>
      <w:r>
        <w:rPr>
          <w:rFonts w:hint="eastAsia" w:ascii="仿宋" w:hAnsi="仿宋" w:eastAsia="仿宋" w:cs="仿宋"/>
          <w:szCs w:val="21"/>
        </w:rPr>
        <w:t xml:space="preserve">           法定代表人（负责人）或委托代理人（签字或盖章）</w:t>
      </w:r>
      <w:r>
        <w:rPr>
          <w:rFonts w:hint="eastAsia" w:ascii="仿宋" w:hAnsi="仿宋" w:eastAsia="仿宋" w:cs="仿宋"/>
          <w:szCs w:val="21"/>
          <w:u w:val="single"/>
        </w:rPr>
        <w:t xml:space="preserve">                       </w:t>
      </w:r>
      <w:r>
        <w:rPr>
          <w:rFonts w:hint="eastAsia" w:ascii="仿宋" w:hAnsi="仿宋" w:eastAsia="仿宋" w:cs="仿宋"/>
          <w:szCs w:val="21"/>
        </w:rPr>
        <w:t xml:space="preserve">                     </w:t>
      </w:r>
    </w:p>
    <w:p w14:paraId="39EB5515">
      <w:pPr>
        <w:widowControl/>
        <w:spacing w:before="225" w:after="225" w:line="345" w:lineRule="atLeast"/>
        <w:jc w:val="left"/>
        <w:rPr>
          <w:rFonts w:hint="eastAsia" w:ascii="仿宋" w:hAnsi="仿宋" w:eastAsia="仿宋" w:cs="仿宋"/>
          <w:szCs w:val="21"/>
        </w:rPr>
      </w:pPr>
      <w:r>
        <w:rPr>
          <w:rFonts w:hint="eastAsia" w:ascii="仿宋" w:hAnsi="仿宋" w:eastAsia="仿宋" w:cs="仿宋"/>
          <w:szCs w:val="21"/>
        </w:rPr>
        <w:t xml:space="preserve">                                                        年    月    日</w:t>
      </w:r>
    </w:p>
    <w:p w14:paraId="142BE39E">
      <w:pPr>
        <w:tabs>
          <w:tab w:val="left" w:pos="3870"/>
          <w:tab w:val="left" w:pos="4085"/>
        </w:tabs>
        <w:snapToGrid w:val="0"/>
        <w:spacing w:line="420" w:lineRule="exact"/>
        <w:ind w:firstLine="420" w:firstLineChars="200"/>
        <w:jc w:val="left"/>
        <w:rPr>
          <w:rFonts w:ascii="Arial" w:hAnsi="Arial" w:cs="Arial"/>
          <w:szCs w:val="21"/>
        </w:rPr>
      </w:pPr>
      <w:r>
        <w:rPr>
          <w:rFonts w:hint="eastAsia" w:ascii="Arial" w:hAnsi="Arial" w:cs="Arial"/>
          <w:szCs w:val="21"/>
        </w:rPr>
        <w:t>③监狱企业由省级以上监狱管理局、戒毒管理局（含新疆生产建设兵团）出具的属于监狱企业的证明文件（货物由监狱企业承接的必须提供）</w:t>
      </w:r>
    </w:p>
    <w:p w14:paraId="72C7E7D5">
      <w:pPr>
        <w:tabs>
          <w:tab w:val="left" w:pos="3870"/>
          <w:tab w:val="left" w:pos="4085"/>
        </w:tabs>
        <w:snapToGrid w:val="0"/>
        <w:spacing w:line="420" w:lineRule="exact"/>
        <w:ind w:firstLine="420" w:firstLineChars="200"/>
        <w:jc w:val="left"/>
        <w:rPr>
          <w:rFonts w:hint="eastAsia" w:ascii="宋体" w:hAnsi="宋体" w:cs="宋体"/>
          <w:b/>
          <w:bCs/>
          <w:szCs w:val="21"/>
        </w:rPr>
      </w:pPr>
      <w:r>
        <w:rPr>
          <w:rFonts w:hint="eastAsia" w:ascii="宋体" w:hAnsi="宋体" w:cs="宋体"/>
          <w:szCs w:val="21"/>
        </w:rPr>
        <w:t>（9）投标保证金缴纳凭证复印件</w:t>
      </w:r>
      <w:r>
        <w:rPr>
          <w:rFonts w:hint="eastAsia" w:ascii="宋体" w:hAnsi="宋体" w:cs="宋体"/>
          <w:b/>
          <w:bCs/>
          <w:szCs w:val="21"/>
        </w:rPr>
        <w:t>（必须提供）</w:t>
      </w:r>
    </w:p>
    <w:p w14:paraId="7C0834A5">
      <w:pPr>
        <w:overflowPunct w:val="0"/>
        <w:spacing w:line="520" w:lineRule="exact"/>
        <w:rPr>
          <w:rFonts w:hint="eastAsia" w:ascii="仿宋_GB2312" w:hAnsi="仿宋" w:eastAsia="仿宋_GB2312" w:cs="仿宋_GB2312"/>
          <w:b/>
          <w:bCs/>
          <w:kern w:val="0"/>
          <w:sz w:val="24"/>
        </w:rPr>
        <w:sectPr>
          <w:pgSz w:w="11906" w:h="16838"/>
          <w:pgMar w:top="1440" w:right="1247" w:bottom="1440" w:left="1361" w:header="851" w:footer="992" w:gutter="0"/>
          <w:cols w:space="720" w:num="1"/>
          <w:docGrid w:linePitch="312" w:charSpace="0"/>
        </w:sectPr>
      </w:pPr>
    </w:p>
    <w:p w14:paraId="2FD38689">
      <w:pPr>
        <w:spacing w:line="276" w:lineRule="auto"/>
        <w:rPr>
          <w:rFonts w:hint="eastAsia" w:ascii="宋体" w:hAnsi="宋体" w:cs="宋体"/>
          <w:sz w:val="24"/>
          <w:u w:val="single"/>
        </w:rPr>
      </w:pPr>
    </w:p>
    <w:p w14:paraId="60DD0E1C">
      <w:pPr>
        <w:spacing w:line="276" w:lineRule="auto"/>
        <w:jc w:val="center"/>
        <w:rPr>
          <w:rFonts w:hint="eastAsia" w:ascii="宋体" w:hAnsi="宋体" w:cs="宋体"/>
          <w:b/>
          <w:bCs/>
          <w:sz w:val="56"/>
          <w:szCs w:val="56"/>
        </w:rPr>
      </w:pPr>
      <w:r>
        <w:rPr>
          <w:rFonts w:hint="eastAsia" w:ascii="宋体" w:hAnsi="宋体" w:cs="宋体"/>
          <w:b/>
          <w:bCs/>
          <w:sz w:val="56"/>
          <w:szCs w:val="56"/>
        </w:rPr>
        <w:t>二、报价文件格式</w:t>
      </w:r>
    </w:p>
    <w:p w14:paraId="1B7327EF">
      <w:pPr>
        <w:snapToGrid w:val="0"/>
        <w:spacing w:before="50" w:after="50" w:line="400" w:lineRule="exact"/>
        <w:rPr>
          <w:rFonts w:hint="eastAsia" w:ascii="宋体" w:hAnsi="宋体" w:cs="宋体"/>
          <w:b/>
          <w:bCs/>
          <w:sz w:val="24"/>
        </w:rPr>
      </w:pPr>
    </w:p>
    <w:p w14:paraId="2BCFB48C">
      <w:pPr>
        <w:snapToGrid w:val="0"/>
        <w:spacing w:before="50" w:after="50" w:line="400" w:lineRule="exact"/>
        <w:rPr>
          <w:rFonts w:hint="eastAsia" w:ascii="宋体" w:hAnsi="宋体" w:cs="宋体"/>
          <w:b/>
          <w:bCs/>
          <w:sz w:val="24"/>
        </w:rPr>
      </w:pPr>
      <w:r>
        <w:rPr>
          <w:rFonts w:hint="eastAsia" w:ascii="宋体" w:hAnsi="宋体" w:cs="宋体"/>
          <w:b/>
          <w:bCs/>
          <w:sz w:val="24"/>
        </w:rPr>
        <w:t>报价文件目录：</w:t>
      </w:r>
    </w:p>
    <w:p w14:paraId="5A4E2597">
      <w:pPr>
        <w:snapToGrid w:val="0"/>
        <w:spacing w:before="50" w:after="50" w:line="400" w:lineRule="exact"/>
        <w:rPr>
          <w:rFonts w:hint="eastAsia" w:ascii="宋体" w:hAnsi="宋体" w:cs="宋体"/>
          <w:b/>
          <w:bCs/>
          <w:szCs w:val="21"/>
        </w:rPr>
      </w:pPr>
    </w:p>
    <w:p w14:paraId="0304FDAE">
      <w:pPr>
        <w:tabs>
          <w:tab w:val="left" w:pos="3870"/>
          <w:tab w:val="left" w:pos="4085"/>
        </w:tabs>
        <w:snapToGrid w:val="0"/>
        <w:jc w:val="center"/>
        <w:rPr>
          <w:rFonts w:hint="eastAsia" w:ascii="宋体" w:hAnsi="宋体" w:cs="宋体"/>
          <w:sz w:val="36"/>
          <w:szCs w:val="36"/>
        </w:rPr>
      </w:pPr>
    </w:p>
    <w:p w14:paraId="7184BE4C">
      <w:pPr>
        <w:spacing w:line="276" w:lineRule="auto"/>
        <w:jc w:val="center"/>
        <w:rPr>
          <w:rFonts w:hint="eastAsia" w:ascii="宋体" w:hAnsi="宋体" w:cs="宋体"/>
          <w:sz w:val="44"/>
          <w:szCs w:val="44"/>
        </w:rPr>
      </w:pPr>
      <w:r>
        <w:rPr>
          <w:rFonts w:hint="eastAsia" w:ascii="宋体" w:hAnsi="宋体" w:cs="宋体"/>
          <w:sz w:val="44"/>
          <w:szCs w:val="44"/>
        </w:rPr>
        <w:t>目    录</w:t>
      </w:r>
    </w:p>
    <w:p w14:paraId="0C854B66">
      <w:pPr>
        <w:spacing w:line="360" w:lineRule="auto"/>
        <w:ind w:firstLine="480" w:firstLineChars="200"/>
        <w:rPr>
          <w:rFonts w:hint="eastAsia" w:ascii="宋体" w:hAnsi="宋体" w:cs="宋体"/>
          <w:sz w:val="24"/>
        </w:rPr>
      </w:pPr>
      <w:r>
        <w:rPr>
          <w:rFonts w:hint="eastAsia" w:ascii="宋体" w:hAnsi="宋体" w:cs="宋体"/>
          <w:sz w:val="24"/>
        </w:rPr>
        <w:t>（1）开标一览表（</w:t>
      </w:r>
      <w:r>
        <w:rPr>
          <w:rFonts w:hint="eastAsia" w:ascii="宋体" w:hAnsi="宋体" w:cs="宋体"/>
          <w:b/>
          <w:bCs/>
          <w:sz w:val="24"/>
        </w:rPr>
        <w:t>必须提供</w:t>
      </w:r>
      <w:r>
        <w:rPr>
          <w:rFonts w:hint="eastAsia" w:ascii="宋体" w:hAnsi="宋体" w:cs="宋体"/>
          <w:sz w:val="24"/>
        </w:rPr>
        <w:t>）…………………………………………………………</w:t>
      </w:r>
    </w:p>
    <w:p w14:paraId="70AA2DBE">
      <w:pPr>
        <w:spacing w:line="360" w:lineRule="auto"/>
        <w:ind w:firstLine="480" w:firstLineChars="200"/>
        <w:jc w:val="left"/>
        <w:rPr>
          <w:rFonts w:hint="eastAsia" w:ascii="宋体" w:hAnsi="宋体" w:cs="宋体"/>
          <w:sz w:val="24"/>
        </w:rPr>
      </w:pPr>
      <w:r>
        <w:rPr>
          <w:rFonts w:hint="eastAsia" w:ascii="宋体" w:hAnsi="宋体" w:cs="宋体"/>
          <w:sz w:val="24"/>
        </w:rPr>
        <w:t>（2）投标报价明细表（</w:t>
      </w:r>
      <w:r>
        <w:rPr>
          <w:rFonts w:hint="eastAsia" w:ascii="宋体" w:hAnsi="宋体" w:cs="宋体"/>
          <w:b/>
          <w:bCs/>
          <w:sz w:val="24"/>
        </w:rPr>
        <w:t>必须提供</w:t>
      </w:r>
      <w:r>
        <w:rPr>
          <w:rFonts w:hint="eastAsia" w:ascii="宋体" w:hAnsi="宋体" w:cs="宋体"/>
          <w:sz w:val="24"/>
        </w:rPr>
        <w:t>）……………………………………………………</w:t>
      </w:r>
    </w:p>
    <w:p w14:paraId="4BA9B9E0">
      <w:pPr>
        <w:spacing w:line="276" w:lineRule="auto"/>
        <w:jc w:val="left"/>
        <w:rPr>
          <w:rFonts w:hint="eastAsia" w:ascii="宋体" w:hAnsi="宋体" w:cs="宋体"/>
          <w:b/>
          <w:bCs/>
          <w:sz w:val="24"/>
        </w:rPr>
      </w:pPr>
    </w:p>
    <w:p w14:paraId="494C96EC">
      <w:pPr>
        <w:spacing w:line="276" w:lineRule="auto"/>
        <w:jc w:val="left"/>
        <w:rPr>
          <w:rFonts w:hint="eastAsia" w:ascii="宋体" w:hAnsi="宋体" w:cs="宋体"/>
          <w:b/>
          <w:bCs/>
          <w:sz w:val="24"/>
        </w:rPr>
      </w:pPr>
    </w:p>
    <w:p w14:paraId="1A46BFB1">
      <w:pPr>
        <w:spacing w:line="276" w:lineRule="auto"/>
        <w:jc w:val="left"/>
        <w:rPr>
          <w:rFonts w:hint="eastAsia" w:ascii="宋体" w:hAnsi="宋体" w:cs="宋体"/>
          <w:b/>
          <w:bCs/>
          <w:sz w:val="24"/>
        </w:rPr>
      </w:pPr>
    </w:p>
    <w:p w14:paraId="2734A89E">
      <w:pPr>
        <w:spacing w:line="276" w:lineRule="auto"/>
        <w:jc w:val="left"/>
        <w:rPr>
          <w:rFonts w:hint="eastAsia" w:ascii="宋体" w:hAnsi="宋体" w:cs="宋体"/>
          <w:b/>
          <w:bCs/>
          <w:sz w:val="24"/>
        </w:rPr>
      </w:pPr>
    </w:p>
    <w:p w14:paraId="2A357B88">
      <w:pPr>
        <w:spacing w:line="276" w:lineRule="auto"/>
        <w:jc w:val="left"/>
        <w:rPr>
          <w:rFonts w:hint="eastAsia" w:ascii="宋体" w:hAnsi="宋体" w:cs="宋体"/>
          <w:b/>
          <w:bCs/>
          <w:sz w:val="24"/>
        </w:rPr>
      </w:pPr>
    </w:p>
    <w:p w14:paraId="60D0EAD8">
      <w:pPr>
        <w:spacing w:line="276" w:lineRule="auto"/>
        <w:jc w:val="left"/>
        <w:rPr>
          <w:rFonts w:hint="eastAsia" w:ascii="宋体" w:hAnsi="宋体" w:cs="宋体"/>
          <w:b/>
          <w:bCs/>
          <w:sz w:val="24"/>
        </w:rPr>
      </w:pPr>
    </w:p>
    <w:p w14:paraId="49CE4386">
      <w:pPr>
        <w:spacing w:line="276" w:lineRule="auto"/>
        <w:jc w:val="left"/>
        <w:rPr>
          <w:rFonts w:hint="eastAsia" w:ascii="宋体" w:hAnsi="宋体" w:cs="宋体"/>
          <w:b/>
          <w:bCs/>
          <w:sz w:val="24"/>
        </w:rPr>
      </w:pPr>
    </w:p>
    <w:p w14:paraId="09014A78">
      <w:pPr>
        <w:spacing w:line="276" w:lineRule="auto"/>
        <w:jc w:val="left"/>
        <w:rPr>
          <w:rFonts w:hint="eastAsia" w:ascii="宋体" w:hAnsi="宋体" w:cs="宋体"/>
          <w:b/>
          <w:bCs/>
          <w:sz w:val="24"/>
        </w:rPr>
      </w:pPr>
    </w:p>
    <w:p w14:paraId="11928875">
      <w:pPr>
        <w:spacing w:line="276" w:lineRule="auto"/>
        <w:jc w:val="left"/>
        <w:rPr>
          <w:rFonts w:hint="eastAsia" w:ascii="宋体" w:hAnsi="宋体" w:cs="宋体"/>
          <w:b/>
          <w:bCs/>
          <w:sz w:val="24"/>
        </w:rPr>
      </w:pPr>
    </w:p>
    <w:p w14:paraId="3D89A015">
      <w:pPr>
        <w:spacing w:line="276" w:lineRule="auto"/>
        <w:jc w:val="left"/>
        <w:rPr>
          <w:rFonts w:hint="eastAsia" w:ascii="宋体" w:hAnsi="宋体" w:cs="宋体"/>
          <w:b/>
          <w:bCs/>
          <w:sz w:val="24"/>
        </w:rPr>
      </w:pPr>
    </w:p>
    <w:p w14:paraId="63CF2C94">
      <w:pPr>
        <w:spacing w:line="276" w:lineRule="auto"/>
        <w:jc w:val="left"/>
        <w:rPr>
          <w:rFonts w:hint="eastAsia" w:ascii="宋体" w:hAnsi="宋体" w:cs="宋体"/>
          <w:b/>
          <w:bCs/>
          <w:sz w:val="24"/>
        </w:rPr>
      </w:pPr>
    </w:p>
    <w:p w14:paraId="1DEE19A3">
      <w:pPr>
        <w:spacing w:line="276" w:lineRule="auto"/>
        <w:jc w:val="left"/>
        <w:rPr>
          <w:rFonts w:hint="eastAsia" w:ascii="宋体" w:hAnsi="宋体" w:cs="宋体"/>
          <w:b/>
          <w:bCs/>
          <w:sz w:val="24"/>
        </w:rPr>
      </w:pPr>
    </w:p>
    <w:p w14:paraId="525A3CF5">
      <w:pPr>
        <w:spacing w:line="276" w:lineRule="auto"/>
        <w:jc w:val="left"/>
        <w:rPr>
          <w:rFonts w:hint="eastAsia" w:ascii="宋体" w:hAnsi="宋体" w:cs="宋体"/>
          <w:b/>
          <w:bCs/>
          <w:sz w:val="24"/>
        </w:rPr>
      </w:pPr>
    </w:p>
    <w:p w14:paraId="6AE16C6D">
      <w:pPr>
        <w:spacing w:line="276" w:lineRule="auto"/>
        <w:jc w:val="left"/>
        <w:rPr>
          <w:rFonts w:hint="eastAsia" w:ascii="宋体" w:hAnsi="宋体" w:cs="宋体"/>
          <w:b/>
          <w:bCs/>
          <w:sz w:val="24"/>
        </w:rPr>
      </w:pPr>
    </w:p>
    <w:p w14:paraId="6509813D">
      <w:pPr>
        <w:spacing w:line="276" w:lineRule="auto"/>
        <w:jc w:val="left"/>
        <w:rPr>
          <w:rFonts w:hint="eastAsia" w:ascii="宋体" w:hAnsi="宋体" w:cs="宋体"/>
          <w:b/>
          <w:bCs/>
          <w:sz w:val="24"/>
        </w:rPr>
      </w:pPr>
    </w:p>
    <w:p w14:paraId="38AFF3E0">
      <w:pPr>
        <w:rPr>
          <w:rFonts w:hint="eastAsia" w:ascii="宋体" w:hAnsi="宋体" w:cs="宋体"/>
          <w:b/>
          <w:sz w:val="24"/>
        </w:rPr>
      </w:pPr>
      <w:r>
        <w:rPr>
          <w:rFonts w:hint="eastAsia" w:ascii="宋体" w:hAnsi="宋体" w:cs="宋体"/>
          <w:b/>
          <w:sz w:val="24"/>
        </w:rPr>
        <w:br w:type="page"/>
      </w:r>
    </w:p>
    <w:p w14:paraId="512BB5BC">
      <w:pPr>
        <w:spacing w:line="276" w:lineRule="auto"/>
        <w:jc w:val="left"/>
        <w:rPr>
          <w:rFonts w:hint="eastAsia" w:ascii="宋体" w:hAnsi="宋体" w:cs="宋体"/>
          <w:b/>
          <w:sz w:val="24"/>
        </w:rPr>
      </w:pPr>
      <w:r>
        <w:rPr>
          <w:rFonts w:hint="eastAsia" w:ascii="宋体" w:hAnsi="宋体" w:cs="宋体"/>
          <w:b/>
          <w:sz w:val="24"/>
        </w:rPr>
        <w:t>（1）开标一览表格式（必须提供）：</w:t>
      </w:r>
    </w:p>
    <w:p w14:paraId="14E7D394">
      <w:pPr>
        <w:snapToGrid w:val="0"/>
        <w:spacing w:before="50" w:after="50" w:line="400" w:lineRule="exact"/>
        <w:jc w:val="center"/>
        <w:rPr>
          <w:rFonts w:hint="eastAsia" w:ascii="宋体" w:hAnsi="宋体" w:cs="宋体"/>
          <w:b/>
          <w:bCs/>
          <w:sz w:val="32"/>
          <w:szCs w:val="32"/>
        </w:rPr>
      </w:pPr>
    </w:p>
    <w:p w14:paraId="1CAC85EC">
      <w:pPr>
        <w:snapToGrid w:val="0"/>
        <w:spacing w:before="50" w:after="50" w:line="400" w:lineRule="exact"/>
        <w:jc w:val="center"/>
        <w:rPr>
          <w:rFonts w:hint="eastAsia" w:ascii="宋体" w:hAnsi="宋体" w:cs="宋体"/>
          <w:b/>
          <w:bCs/>
          <w:sz w:val="32"/>
          <w:szCs w:val="32"/>
        </w:rPr>
      </w:pPr>
      <w:r>
        <w:rPr>
          <w:rFonts w:hint="eastAsia" w:ascii="宋体" w:hAnsi="宋体" w:cs="宋体"/>
          <w:b/>
          <w:bCs/>
          <w:sz w:val="32"/>
          <w:szCs w:val="32"/>
        </w:rPr>
        <w:t>开标一览表（1分标、2分标、3分标格式）</w:t>
      </w:r>
    </w:p>
    <w:p w14:paraId="219A6835">
      <w:pPr>
        <w:snapToGrid w:val="0"/>
        <w:spacing w:before="50" w:after="50" w:line="400" w:lineRule="exact"/>
        <w:jc w:val="center"/>
        <w:rPr>
          <w:rFonts w:hint="eastAsia" w:ascii="宋体" w:hAnsi="宋体" w:cs="宋体"/>
          <w:b/>
          <w:sz w:val="30"/>
        </w:rPr>
      </w:pPr>
    </w:p>
    <w:p w14:paraId="3B9C78F2">
      <w:pPr>
        <w:snapToGrid w:val="0"/>
        <w:spacing w:before="50" w:after="120" w:afterLines="50" w:line="400" w:lineRule="exact"/>
        <w:jc w:val="left"/>
        <w:rPr>
          <w:rFonts w:hint="eastAsia" w:ascii="宋体" w:hAnsi="宋体" w:cs="宋体"/>
          <w:sz w:val="24"/>
        </w:rPr>
      </w:pPr>
      <w:r>
        <w:rPr>
          <w:rFonts w:hint="eastAsia" w:ascii="宋体" w:hAnsi="宋体" w:cs="宋体"/>
          <w:sz w:val="24"/>
        </w:rPr>
        <w:t>项目名称：</w:t>
      </w:r>
    </w:p>
    <w:p w14:paraId="7CD89E86">
      <w:pPr>
        <w:snapToGrid w:val="0"/>
        <w:spacing w:before="50" w:after="120" w:afterLines="50" w:line="400" w:lineRule="exact"/>
        <w:jc w:val="left"/>
        <w:rPr>
          <w:rFonts w:hint="eastAsia" w:ascii="宋体" w:hAnsi="宋体" w:cs="宋体"/>
          <w:sz w:val="24"/>
        </w:rPr>
      </w:pPr>
      <w:r>
        <w:rPr>
          <w:rFonts w:hint="eastAsia" w:ascii="宋体" w:hAnsi="宋体" w:cs="宋体"/>
          <w:sz w:val="24"/>
        </w:rPr>
        <w:t>项目编号：</w:t>
      </w:r>
    </w:p>
    <w:p w14:paraId="1D4666E1">
      <w:pPr>
        <w:snapToGrid w:val="0"/>
        <w:spacing w:before="50" w:after="120" w:afterLines="50" w:line="400" w:lineRule="exact"/>
        <w:jc w:val="left"/>
        <w:rPr>
          <w:rFonts w:hint="eastAsia" w:ascii="宋体" w:hAnsi="宋体" w:cs="宋体"/>
          <w:b/>
          <w:sz w:val="24"/>
        </w:rPr>
      </w:pPr>
      <w:r>
        <w:rPr>
          <w:rFonts w:hint="eastAsia" w:ascii="宋体" w:hAnsi="宋体" w:cs="宋体"/>
          <w:sz w:val="24"/>
        </w:rPr>
        <w:t xml:space="preserve">所投分标：                        </w:t>
      </w:r>
    </w:p>
    <w:p w14:paraId="30E5844E">
      <w:pPr>
        <w:snapToGrid w:val="0"/>
        <w:spacing w:before="50" w:after="120" w:afterLines="50" w:line="400" w:lineRule="exact"/>
        <w:ind w:firstLine="117" w:firstLineChars="49"/>
        <w:jc w:val="right"/>
        <w:rPr>
          <w:rFonts w:hint="eastAsia" w:ascii="宋体" w:hAnsi="宋体" w:cs="宋体"/>
          <w:b/>
          <w:sz w:val="24"/>
        </w:rPr>
      </w:pPr>
      <w:r>
        <w:rPr>
          <w:rFonts w:hint="eastAsia" w:ascii="宋体" w:hAnsi="宋体" w:cs="宋体"/>
          <w:sz w:val="24"/>
        </w:rPr>
        <w:t xml:space="preserve">                                                金额单位：人民币（元）</w:t>
      </w:r>
    </w:p>
    <w:tbl>
      <w:tblPr>
        <w:tblStyle w:val="17"/>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880"/>
        <w:gridCol w:w="1813"/>
        <w:gridCol w:w="1423"/>
        <w:gridCol w:w="1083"/>
        <w:gridCol w:w="1393"/>
      </w:tblGrid>
      <w:tr w14:paraId="61E723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0117182">
            <w:pPr>
              <w:snapToGrid w:val="0"/>
              <w:spacing w:before="50" w:after="50" w:line="360" w:lineRule="exact"/>
              <w:rPr>
                <w:rFonts w:hint="eastAsia" w:ascii="宋体" w:hAnsi="宋体" w:cs="宋体"/>
                <w:szCs w:val="21"/>
              </w:rPr>
            </w:pPr>
            <w:bookmarkStart w:id="95" w:name="_Hlk50566116"/>
            <w:r>
              <w:rPr>
                <w:rFonts w:hint="eastAsia" w:ascii="宋体" w:hAnsi="宋体" w:cs="宋体"/>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683C8BE0">
            <w:pPr>
              <w:snapToGrid w:val="0"/>
              <w:spacing w:before="50" w:after="50" w:line="360" w:lineRule="exact"/>
              <w:jc w:val="center"/>
              <w:rPr>
                <w:rFonts w:hint="eastAsia" w:ascii="宋体" w:hAnsi="宋体" w:cs="宋体"/>
                <w:szCs w:val="21"/>
              </w:rPr>
            </w:pPr>
            <w:r>
              <w:rPr>
                <w:rFonts w:hint="eastAsia" w:ascii="宋体" w:hAnsi="宋体" w:cs="宋体"/>
                <w:sz w:val="24"/>
              </w:rPr>
              <w:t>货物名称</w:t>
            </w:r>
          </w:p>
        </w:tc>
        <w:tc>
          <w:tcPr>
            <w:tcW w:w="1417" w:type="dxa"/>
            <w:tcBorders>
              <w:top w:val="single" w:color="auto" w:sz="4" w:space="0"/>
              <w:left w:val="single" w:color="auto" w:sz="4" w:space="0"/>
              <w:bottom w:val="single" w:color="auto" w:sz="4" w:space="0"/>
              <w:right w:val="single" w:color="auto" w:sz="4" w:space="0"/>
            </w:tcBorders>
            <w:vAlign w:val="center"/>
          </w:tcPr>
          <w:p w14:paraId="75CEEFC1">
            <w:pPr>
              <w:snapToGrid w:val="0"/>
              <w:spacing w:before="50" w:after="50" w:line="360" w:lineRule="exact"/>
              <w:jc w:val="center"/>
              <w:rPr>
                <w:rFonts w:hint="eastAsia" w:ascii="宋体" w:hAnsi="宋体" w:cs="宋体"/>
                <w:szCs w:val="21"/>
              </w:rPr>
            </w:pPr>
            <w:r>
              <w:rPr>
                <w:rFonts w:hint="eastAsia" w:ascii="宋体" w:hAnsi="宋体" w:cs="宋体"/>
                <w:sz w:val="24"/>
              </w:rPr>
              <w:t>品牌及厂家</w:t>
            </w:r>
          </w:p>
        </w:tc>
        <w:tc>
          <w:tcPr>
            <w:tcW w:w="880" w:type="dxa"/>
            <w:tcBorders>
              <w:top w:val="single" w:color="auto" w:sz="4" w:space="0"/>
              <w:left w:val="single" w:color="auto" w:sz="4" w:space="0"/>
              <w:bottom w:val="single" w:color="auto" w:sz="4" w:space="0"/>
              <w:right w:val="single" w:color="auto" w:sz="4" w:space="0"/>
            </w:tcBorders>
            <w:vAlign w:val="center"/>
          </w:tcPr>
          <w:p w14:paraId="1ED0C816">
            <w:pPr>
              <w:snapToGrid w:val="0"/>
              <w:spacing w:before="50" w:after="50" w:line="360" w:lineRule="exact"/>
              <w:jc w:val="center"/>
              <w:rPr>
                <w:rFonts w:hint="eastAsia" w:ascii="宋体" w:hAnsi="宋体" w:cs="宋体"/>
                <w:szCs w:val="21"/>
              </w:rPr>
            </w:pPr>
            <w:r>
              <w:rPr>
                <w:rFonts w:hint="eastAsia" w:ascii="宋体" w:hAnsi="宋体" w:cs="宋体"/>
                <w:sz w:val="24"/>
              </w:rPr>
              <w:t>产地</w:t>
            </w:r>
          </w:p>
        </w:tc>
        <w:tc>
          <w:tcPr>
            <w:tcW w:w="1813" w:type="dxa"/>
            <w:tcBorders>
              <w:top w:val="single" w:color="auto" w:sz="4" w:space="0"/>
              <w:left w:val="single" w:color="auto" w:sz="4" w:space="0"/>
              <w:bottom w:val="single" w:color="auto" w:sz="4" w:space="0"/>
              <w:right w:val="single" w:color="auto" w:sz="4" w:space="0"/>
            </w:tcBorders>
            <w:vAlign w:val="center"/>
          </w:tcPr>
          <w:p w14:paraId="4A98A8F7">
            <w:pPr>
              <w:snapToGrid w:val="0"/>
              <w:spacing w:before="50" w:after="50" w:line="360" w:lineRule="exact"/>
              <w:jc w:val="center"/>
              <w:rPr>
                <w:rFonts w:hint="eastAsia" w:ascii="宋体" w:hAnsi="宋体" w:cs="宋体"/>
                <w:szCs w:val="21"/>
              </w:rPr>
            </w:pPr>
            <w:r>
              <w:rPr>
                <w:rFonts w:hint="eastAsia" w:ascii="宋体" w:hAnsi="宋体" w:cs="宋体"/>
                <w:sz w:val="24"/>
              </w:rPr>
              <w:t>规格型号</w:t>
            </w:r>
          </w:p>
        </w:tc>
        <w:tc>
          <w:tcPr>
            <w:tcW w:w="1423" w:type="dxa"/>
            <w:tcBorders>
              <w:top w:val="single" w:color="auto" w:sz="4" w:space="0"/>
              <w:left w:val="single" w:color="auto" w:sz="4" w:space="0"/>
              <w:bottom w:val="single" w:color="auto" w:sz="4" w:space="0"/>
              <w:right w:val="single" w:color="auto" w:sz="4" w:space="0"/>
            </w:tcBorders>
            <w:vAlign w:val="center"/>
          </w:tcPr>
          <w:p w14:paraId="5D96F5AD">
            <w:pPr>
              <w:snapToGrid w:val="0"/>
              <w:spacing w:before="50" w:after="50" w:line="360" w:lineRule="exact"/>
              <w:jc w:val="center"/>
              <w:rPr>
                <w:rFonts w:hint="eastAsia" w:ascii="宋体" w:hAnsi="宋体" w:cs="宋体"/>
                <w:szCs w:val="21"/>
              </w:rPr>
            </w:pPr>
            <w:r>
              <w:rPr>
                <w:rFonts w:hint="eastAsia" w:ascii="宋体" w:hAnsi="宋体" w:cs="宋体"/>
                <w:sz w:val="24"/>
              </w:rPr>
              <w:t>数量及单位</w:t>
            </w:r>
          </w:p>
        </w:tc>
        <w:tc>
          <w:tcPr>
            <w:tcW w:w="1083" w:type="dxa"/>
            <w:tcBorders>
              <w:top w:val="single" w:color="auto" w:sz="4" w:space="0"/>
              <w:left w:val="single" w:color="auto" w:sz="4" w:space="0"/>
              <w:bottom w:val="single" w:color="auto" w:sz="4" w:space="0"/>
              <w:right w:val="single" w:color="auto" w:sz="4" w:space="0"/>
            </w:tcBorders>
            <w:vAlign w:val="center"/>
          </w:tcPr>
          <w:p w14:paraId="035BE7E9">
            <w:pPr>
              <w:snapToGrid w:val="0"/>
              <w:spacing w:before="50" w:after="50" w:line="360" w:lineRule="exact"/>
              <w:jc w:val="center"/>
              <w:rPr>
                <w:rFonts w:hint="eastAsia" w:ascii="宋体" w:hAnsi="宋体" w:cs="宋体"/>
                <w:szCs w:val="21"/>
              </w:rPr>
            </w:pPr>
            <w:r>
              <w:rPr>
                <w:rFonts w:hint="eastAsia" w:ascii="宋体" w:hAnsi="宋体" w:cs="宋体"/>
                <w:sz w:val="24"/>
              </w:rPr>
              <w:t>单价</w:t>
            </w:r>
          </w:p>
        </w:tc>
        <w:tc>
          <w:tcPr>
            <w:tcW w:w="1393" w:type="dxa"/>
            <w:tcBorders>
              <w:top w:val="single" w:color="auto" w:sz="4" w:space="0"/>
              <w:left w:val="single" w:color="auto" w:sz="4" w:space="0"/>
              <w:bottom w:val="single" w:color="auto" w:sz="4" w:space="0"/>
              <w:right w:val="single" w:color="auto" w:sz="4" w:space="0"/>
            </w:tcBorders>
            <w:vAlign w:val="center"/>
          </w:tcPr>
          <w:p w14:paraId="77DC84FF">
            <w:pPr>
              <w:snapToGrid w:val="0"/>
              <w:spacing w:before="50" w:after="50" w:line="360" w:lineRule="exact"/>
              <w:jc w:val="center"/>
              <w:rPr>
                <w:rFonts w:hint="eastAsia" w:ascii="宋体" w:hAnsi="宋体" w:cs="宋体"/>
                <w:szCs w:val="21"/>
              </w:rPr>
            </w:pPr>
            <w:r>
              <w:rPr>
                <w:rFonts w:hint="eastAsia" w:ascii="宋体" w:hAnsi="宋体" w:cs="宋体"/>
                <w:sz w:val="24"/>
              </w:rPr>
              <w:t>投标报价</w:t>
            </w:r>
          </w:p>
        </w:tc>
      </w:tr>
      <w:tr w14:paraId="12291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7B38594D">
            <w:pPr>
              <w:snapToGrid w:val="0"/>
              <w:spacing w:before="50" w:after="50" w:line="360" w:lineRule="exact"/>
              <w:jc w:val="center"/>
              <w:rPr>
                <w:rFonts w:hint="eastAsia" w:ascii="宋体" w:hAnsi="宋体" w:cs="宋体"/>
                <w:szCs w:val="21"/>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3BC6C5ED">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3A3DEC0">
            <w:pPr>
              <w:snapToGrid w:val="0"/>
              <w:spacing w:before="50" w:after="50" w:line="360" w:lineRule="exact"/>
              <w:jc w:val="left"/>
              <w:rPr>
                <w:rFonts w:hint="eastAsia" w:ascii="宋体" w:hAnsi="宋体" w:cs="宋体"/>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50A55ACB">
            <w:pPr>
              <w:snapToGrid w:val="0"/>
              <w:spacing w:before="50" w:after="50" w:line="360" w:lineRule="exact"/>
              <w:jc w:val="center"/>
              <w:rPr>
                <w:rFonts w:hint="eastAsia" w:ascii="宋体" w:hAnsi="宋体" w:cs="宋体"/>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7298FEED">
            <w:pPr>
              <w:snapToGrid w:val="0"/>
              <w:spacing w:before="50" w:after="50" w:line="360" w:lineRule="exact"/>
              <w:jc w:val="center"/>
              <w:rPr>
                <w:rFonts w:hint="eastAsia" w:ascii="宋体" w:hAnsi="宋体" w:cs="宋体"/>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7278BA7D">
            <w:pPr>
              <w:snapToGrid w:val="0"/>
              <w:spacing w:before="50" w:after="50" w:line="360" w:lineRule="exact"/>
              <w:rPr>
                <w:rFonts w:hint="eastAsia" w:ascii="宋体" w:hAnsi="宋体" w:cs="宋体"/>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1C9738EF">
            <w:pPr>
              <w:snapToGrid w:val="0"/>
              <w:spacing w:before="50" w:after="50" w:line="360" w:lineRule="exac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14:paraId="706FF579">
            <w:pPr>
              <w:snapToGrid w:val="0"/>
              <w:spacing w:before="50" w:after="50" w:line="360" w:lineRule="exact"/>
              <w:rPr>
                <w:rFonts w:hint="eastAsia" w:ascii="宋体" w:hAnsi="宋体" w:cs="宋体"/>
                <w:szCs w:val="21"/>
              </w:rPr>
            </w:pPr>
          </w:p>
        </w:tc>
      </w:tr>
      <w:tr w14:paraId="5C250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E2B59BE">
            <w:pPr>
              <w:snapToGrid w:val="0"/>
              <w:spacing w:before="50" w:after="50" w:line="360" w:lineRule="exact"/>
              <w:jc w:val="center"/>
              <w:rPr>
                <w:rFonts w:hint="eastAsia" w:ascii="宋体" w:hAnsi="宋体" w:cs="宋体"/>
                <w:szCs w:val="21"/>
              </w:rPr>
            </w:pPr>
            <w:r>
              <w:rPr>
                <w:rFonts w:hint="eastAsia" w:ascii="宋体" w:hAnsi="宋体" w:cs="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701EB4F9">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511A453">
            <w:pPr>
              <w:snapToGrid w:val="0"/>
              <w:spacing w:before="50" w:after="50" w:line="360" w:lineRule="exact"/>
              <w:jc w:val="left"/>
              <w:rPr>
                <w:rFonts w:hint="eastAsia" w:ascii="宋体" w:hAnsi="宋体" w:cs="宋体"/>
                <w:bCs/>
                <w:szCs w:val="21"/>
              </w:rPr>
            </w:pPr>
          </w:p>
        </w:tc>
        <w:tc>
          <w:tcPr>
            <w:tcW w:w="880" w:type="dxa"/>
            <w:tcBorders>
              <w:top w:val="single" w:color="auto" w:sz="4" w:space="0"/>
              <w:left w:val="single" w:color="auto" w:sz="4" w:space="0"/>
              <w:bottom w:val="single" w:color="auto" w:sz="4" w:space="0"/>
              <w:right w:val="single" w:color="auto" w:sz="4" w:space="0"/>
            </w:tcBorders>
            <w:vAlign w:val="center"/>
          </w:tcPr>
          <w:p w14:paraId="70D9E555">
            <w:pPr>
              <w:snapToGrid w:val="0"/>
              <w:spacing w:before="50" w:after="50" w:line="360" w:lineRule="exact"/>
              <w:jc w:val="center"/>
              <w:rPr>
                <w:rFonts w:hint="eastAsia" w:ascii="宋体" w:hAnsi="宋体" w:cs="宋体"/>
                <w:szCs w:val="21"/>
              </w:rPr>
            </w:pPr>
          </w:p>
        </w:tc>
        <w:tc>
          <w:tcPr>
            <w:tcW w:w="1813" w:type="dxa"/>
            <w:tcBorders>
              <w:top w:val="single" w:color="auto" w:sz="4" w:space="0"/>
              <w:left w:val="single" w:color="auto" w:sz="4" w:space="0"/>
              <w:bottom w:val="single" w:color="auto" w:sz="4" w:space="0"/>
              <w:right w:val="single" w:color="auto" w:sz="4" w:space="0"/>
            </w:tcBorders>
            <w:vAlign w:val="center"/>
          </w:tcPr>
          <w:p w14:paraId="723FDE45">
            <w:pPr>
              <w:snapToGrid w:val="0"/>
              <w:spacing w:before="50" w:after="50" w:line="360" w:lineRule="exact"/>
              <w:jc w:val="center"/>
              <w:rPr>
                <w:rFonts w:hint="eastAsia" w:ascii="宋体" w:hAnsi="宋体" w:cs="宋体"/>
                <w:szCs w:val="21"/>
              </w:rPr>
            </w:pPr>
          </w:p>
        </w:tc>
        <w:tc>
          <w:tcPr>
            <w:tcW w:w="1423" w:type="dxa"/>
            <w:tcBorders>
              <w:top w:val="single" w:color="auto" w:sz="4" w:space="0"/>
              <w:left w:val="single" w:color="auto" w:sz="4" w:space="0"/>
              <w:bottom w:val="single" w:color="auto" w:sz="4" w:space="0"/>
              <w:right w:val="single" w:color="auto" w:sz="4" w:space="0"/>
            </w:tcBorders>
            <w:vAlign w:val="center"/>
          </w:tcPr>
          <w:p w14:paraId="173EE897">
            <w:pPr>
              <w:snapToGrid w:val="0"/>
              <w:spacing w:before="50" w:after="50" w:line="360" w:lineRule="exact"/>
              <w:rPr>
                <w:rFonts w:hint="eastAsia" w:ascii="宋体" w:hAnsi="宋体" w:cs="宋体"/>
                <w:szCs w:val="21"/>
              </w:rPr>
            </w:pPr>
          </w:p>
        </w:tc>
        <w:tc>
          <w:tcPr>
            <w:tcW w:w="1083" w:type="dxa"/>
            <w:tcBorders>
              <w:top w:val="single" w:color="auto" w:sz="4" w:space="0"/>
              <w:left w:val="single" w:color="auto" w:sz="4" w:space="0"/>
              <w:bottom w:val="single" w:color="auto" w:sz="4" w:space="0"/>
              <w:right w:val="single" w:color="auto" w:sz="4" w:space="0"/>
            </w:tcBorders>
            <w:vAlign w:val="center"/>
          </w:tcPr>
          <w:p w14:paraId="636DB581">
            <w:pPr>
              <w:snapToGrid w:val="0"/>
              <w:spacing w:before="50" w:after="50" w:line="360" w:lineRule="exact"/>
              <w:rPr>
                <w:rFonts w:hint="eastAsia" w:ascii="宋体" w:hAnsi="宋体" w:cs="宋体"/>
                <w:szCs w:val="21"/>
              </w:rPr>
            </w:pPr>
          </w:p>
        </w:tc>
        <w:tc>
          <w:tcPr>
            <w:tcW w:w="1393" w:type="dxa"/>
            <w:tcBorders>
              <w:top w:val="single" w:color="auto" w:sz="4" w:space="0"/>
              <w:left w:val="single" w:color="auto" w:sz="4" w:space="0"/>
              <w:bottom w:val="single" w:color="auto" w:sz="4" w:space="0"/>
              <w:right w:val="single" w:color="auto" w:sz="4" w:space="0"/>
            </w:tcBorders>
            <w:vAlign w:val="center"/>
          </w:tcPr>
          <w:p w14:paraId="02D90F1A">
            <w:pPr>
              <w:snapToGrid w:val="0"/>
              <w:spacing w:before="50" w:after="50" w:line="360" w:lineRule="exact"/>
              <w:rPr>
                <w:rFonts w:hint="eastAsia" w:ascii="宋体" w:hAnsi="宋体" w:cs="宋体"/>
                <w:szCs w:val="21"/>
              </w:rPr>
            </w:pPr>
          </w:p>
        </w:tc>
      </w:tr>
      <w:tr w14:paraId="46F1E6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8"/>
            <w:tcBorders>
              <w:top w:val="single" w:color="auto" w:sz="4" w:space="0"/>
              <w:left w:val="single" w:color="auto" w:sz="4" w:space="0"/>
              <w:bottom w:val="single" w:color="auto" w:sz="4" w:space="0"/>
              <w:right w:val="single" w:color="auto" w:sz="4" w:space="0"/>
            </w:tcBorders>
            <w:vAlign w:val="center"/>
          </w:tcPr>
          <w:p w14:paraId="13ABF565">
            <w:pPr>
              <w:snapToGrid w:val="0"/>
              <w:spacing w:before="50" w:after="50" w:line="360" w:lineRule="exact"/>
              <w:rPr>
                <w:rFonts w:hint="eastAsia" w:ascii="宋体" w:hAnsi="宋体" w:cs="宋体"/>
                <w:szCs w:val="21"/>
                <w:u w:val="single"/>
              </w:rPr>
            </w:pPr>
            <w:r>
              <w:rPr>
                <w:rFonts w:hint="eastAsia" w:ascii="宋体" w:hAnsi="宋体" w:cs="宋体"/>
                <w:sz w:val="24"/>
              </w:rPr>
              <w:t>合计金额大写：</w:t>
            </w:r>
            <w:r>
              <w:rPr>
                <w:rFonts w:hint="eastAsia" w:ascii="宋体" w:hAnsi="宋体" w:cs="宋体"/>
                <w:sz w:val="24"/>
                <w:u w:val="single"/>
              </w:rPr>
              <w:t xml:space="preserve">                                        ¥            </w:t>
            </w:r>
          </w:p>
        </w:tc>
      </w:tr>
      <w:bookmarkEnd w:id="95"/>
    </w:tbl>
    <w:p w14:paraId="4914648F">
      <w:pPr>
        <w:snapToGrid w:val="0"/>
        <w:spacing w:before="50" w:after="50" w:line="400" w:lineRule="exact"/>
        <w:jc w:val="left"/>
        <w:rPr>
          <w:rFonts w:hint="eastAsia" w:ascii="宋体" w:hAnsi="宋体" w:cs="宋体"/>
          <w:sz w:val="24"/>
        </w:rPr>
      </w:pPr>
    </w:p>
    <w:p w14:paraId="2E628CE1">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注：1.</w:t>
      </w:r>
      <w:r>
        <w:rPr>
          <w:rFonts w:hint="eastAsia" w:ascii="宋体" w:hAnsi="宋体" w:cs="宋体"/>
          <w:b/>
          <w:sz w:val="24"/>
        </w:rPr>
        <w:t>此项材料必须</w:t>
      </w:r>
      <w:r>
        <w:rPr>
          <w:rFonts w:hint="eastAsia" w:ascii="宋体" w:hAnsi="宋体" w:cs="宋体"/>
          <w:b/>
          <w:bCs/>
          <w:sz w:val="24"/>
        </w:rPr>
        <w:t>以PDF格式上传；</w:t>
      </w:r>
    </w:p>
    <w:p w14:paraId="15C35FCB">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2.报价一经涂改，应在涂改处加盖投标人CA电子签章或者由法定代表人或授权委托代理人签字或盖章，否则其投标作无效标处理；</w:t>
      </w:r>
    </w:p>
    <w:p w14:paraId="033EB03D">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3.凡需用专用耗材的专用设备类采购项目，应按招标文件规定的耗材量或按耗材的常规试用量提供报价。</w:t>
      </w:r>
    </w:p>
    <w:p w14:paraId="16FBBE33">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4.投标报价包括货物及货物运抵指定交付地点的所有成本、各种费用的总和。</w:t>
      </w:r>
    </w:p>
    <w:p w14:paraId="52BC5A2F">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5.以上报价应与“投标报价明细表”中的“投标总价”相一致。</w:t>
      </w:r>
    </w:p>
    <w:p w14:paraId="1EDC9BA3">
      <w:pPr>
        <w:snapToGrid w:val="0"/>
        <w:spacing w:before="50" w:after="50" w:line="400" w:lineRule="exact"/>
        <w:ind w:right="-817" w:rightChars="-389"/>
        <w:rPr>
          <w:rFonts w:hint="eastAsia" w:ascii="宋体" w:hAnsi="宋体" w:cs="宋体"/>
          <w:b/>
          <w:sz w:val="24"/>
        </w:rPr>
      </w:pPr>
    </w:p>
    <w:p w14:paraId="104B7889">
      <w:pPr>
        <w:snapToGrid w:val="0"/>
        <w:spacing w:before="50" w:after="50" w:line="400" w:lineRule="exact"/>
        <w:ind w:right="-817" w:rightChars="-389"/>
        <w:rPr>
          <w:rFonts w:hint="eastAsia" w:ascii="宋体" w:hAnsi="宋体" w:cs="宋体"/>
          <w:b/>
          <w:sz w:val="24"/>
        </w:rPr>
      </w:pPr>
    </w:p>
    <w:p w14:paraId="3A5BDBB6">
      <w:pPr>
        <w:snapToGrid w:val="0"/>
        <w:spacing w:before="50" w:after="50" w:line="400" w:lineRule="exact"/>
        <w:ind w:left="-2" w:leftChars="-1" w:right="-817" w:rightChars="-389" w:firstLine="480" w:firstLineChars="200"/>
        <w:jc w:val="left"/>
        <w:rPr>
          <w:rFonts w:hint="eastAsia" w:ascii="宋体" w:hAnsi="宋体" w:cs="宋体"/>
          <w:sz w:val="24"/>
        </w:rPr>
      </w:pPr>
      <w:r>
        <w:rPr>
          <w:rFonts w:hint="eastAsia" w:ascii="宋体" w:hAnsi="宋体" w:cs="宋体"/>
          <w:sz w:val="24"/>
        </w:rPr>
        <w:t xml:space="preserve">                           法定代表人或委托代理人</w:t>
      </w:r>
      <w:r>
        <w:rPr>
          <w:rFonts w:hint="eastAsia" w:ascii="宋体" w:hAnsi="宋体" w:cs="宋体"/>
          <w:b/>
          <w:bCs/>
          <w:sz w:val="24"/>
        </w:rPr>
        <w:t>（签字）：</w:t>
      </w:r>
      <w:r>
        <w:rPr>
          <w:rFonts w:hint="eastAsia" w:ascii="宋体" w:hAnsi="宋体" w:cs="宋体"/>
          <w:sz w:val="24"/>
          <w:u w:val="single"/>
        </w:rPr>
        <w:t xml:space="preserve">                </w:t>
      </w:r>
    </w:p>
    <w:p w14:paraId="7108BAF1">
      <w:pPr>
        <w:pStyle w:val="11"/>
        <w:spacing w:line="400" w:lineRule="exact"/>
        <w:ind w:firstLine="5520" w:firstLineChars="2300"/>
        <w:rPr>
          <w:rFonts w:hint="eastAsia" w:hAnsi="宋体" w:cs="宋体"/>
          <w:sz w:val="24"/>
          <w:szCs w:val="24"/>
        </w:rPr>
      </w:pPr>
      <w:r>
        <w:rPr>
          <w:rFonts w:hint="eastAsia" w:hAnsi="宋体" w:cs="宋体"/>
          <w:sz w:val="24"/>
          <w:szCs w:val="24"/>
        </w:rPr>
        <w:t>投标人</w:t>
      </w:r>
      <w:r>
        <w:rPr>
          <w:rFonts w:hint="eastAsia" w:hAnsi="宋体" w:cs="宋体"/>
          <w:b/>
          <w:bCs/>
          <w:sz w:val="24"/>
          <w:szCs w:val="24"/>
        </w:rPr>
        <w:t>（CA电子签章）</w:t>
      </w:r>
      <w:r>
        <w:rPr>
          <w:rFonts w:hint="eastAsia" w:hAnsi="宋体" w:cs="宋体"/>
          <w:sz w:val="24"/>
          <w:szCs w:val="24"/>
        </w:rPr>
        <w:t>：</w:t>
      </w:r>
      <w:r>
        <w:rPr>
          <w:rFonts w:hint="eastAsia" w:hAnsi="宋体" w:cs="宋体"/>
          <w:sz w:val="24"/>
          <w:szCs w:val="24"/>
          <w:u w:val="single"/>
        </w:rPr>
        <w:t xml:space="preserve">                               </w:t>
      </w:r>
    </w:p>
    <w:p w14:paraId="76F8A9FB">
      <w:pPr>
        <w:snapToGrid w:val="0"/>
        <w:spacing w:before="50" w:after="50" w:line="400" w:lineRule="exact"/>
        <w:ind w:left="-2" w:leftChars="-1" w:right="-817" w:rightChars="-389" w:firstLine="480" w:firstLineChars="200"/>
        <w:jc w:val="right"/>
        <w:rPr>
          <w:rFonts w:hint="eastAsia" w:ascii="宋体" w:hAnsi="宋体" w:cs="宋体"/>
          <w:sz w:val="24"/>
        </w:rPr>
      </w:pPr>
    </w:p>
    <w:p w14:paraId="654E1C40">
      <w:pPr>
        <w:snapToGrid w:val="0"/>
        <w:spacing w:before="50" w:after="50" w:line="400" w:lineRule="exact"/>
        <w:ind w:right="-817" w:rightChars="-389" w:firstLine="480" w:firstLineChars="200"/>
        <w:jc w:val="center"/>
        <w:rPr>
          <w:rFonts w:hint="eastAsia" w:ascii="宋体" w:hAnsi="宋体" w:cs="宋体"/>
          <w:sz w:val="24"/>
        </w:rPr>
        <w:sectPr>
          <w:pgSz w:w="11906" w:h="16838"/>
          <w:pgMar w:top="1440" w:right="1247" w:bottom="1440" w:left="1361" w:header="851" w:footer="992" w:gutter="0"/>
          <w:cols w:space="720" w:num="1"/>
          <w:docGrid w:linePitch="312" w:charSpace="0"/>
        </w:sectPr>
      </w:pPr>
      <w:r>
        <w:rPr>
          <w:rFonts w:hint="eastAsia" w:ascii="宋体" w:hAnsi="宋体" w:cs="宋体"/>
          <w:sz w:val="24"/>
        </w:rPr>
        <w:t xml:space="preserve">                                         日期：       年   月   日</w:t>
      </w:r>
    </w:p>
    <w:p w14:paraId="13AEEEA6">
      <w:pPr>
        <w:snapToGrid w:val="0"/>
        <w:spacing w:before="50" w:after="50" w:line="400" w:lineRule="exact"/>
        <w:jc w:val="center"/>
        <w:rPr>
          <w:rFonts w:hint="eastAsia" w:ascii="宋体" w:hAnsi="宋体" w:cs="宋体"/>
          <w:b/>
          <w:bCs/>
          <w:sz w:val="32"/>
          <w:szCs w:val="32"/>
        </w:rPr>
      </w:pPr>
      <w:r>
        <w:rPr>
          <w:rFonts w:hint="eastAsia" w:ascii="宋体" w:hAnsi="宋体" w:cs="宋体"/>
          <w:b/>
          <w:bCs/>
          <w:sz w:val="32"/>
          <w:szCs w:val="32"/>
        </w:rPr>
        <w:t>开标一览表（4分标格式）</w:t>
      </w:r>
    </w:p>
    <w:p w14:paraId="39060669">
      <w:pPr>
        <w:snapToGrid w:val="0"/>
        <w:spacing w:before="50" w:after="50" w:line="400" w:lineRule="exact"/>
        <w:jc w:val="center"/>
        <w:rPr>
          <w:rFonts w:hint="eastAsia" w:ascii="宋体" w:hAnsi="宋体" w:cs="宋体"/>
          <w:b/>
          <w:sz w:val="30"/>
        </w:rPr>
      </w:pPr>
    </w:p>
    <w:p w14:paraId="3730B526">
      <w:pPr>
        <w:snapToGrid w:val="0"/>
        <w:spacing w:before="50" w:after="120" w:afterLines="50" w:line="400" w:lineRule="exact"/>
        <w:jc w:val="left"/>
        <w:rPr>
          <w:rFonts w:hint="eastAsia" w:ascii="宋体" w:hAnsi="宋体" w:cs="宋体"/>
          <w:sz w:val="24"/>
        </w:rPr>
      </w:pPr>
      <w:r>
        <w:rPr>
          <w:rFonts w:hint="eastAsia" w:ascii="宋体" w:hAnsi="宋体" w:cs="宋体"/>
          <w:sz w:val="24"/>
        </w:rPr>
        <w:t>项目名称：</w:t>
      </w:r>
    </w:p>
    <w:p w14:paraId="62A245D3">
      <w:pPr>
        <w:snapToGrid w:val="0"/>
        <w:spacing w:before="50" w:after="120" w:afterLines="50" w:line="400" w:lineRule="exact"/>
        <w:jc w:val="left"/>
        <w:rPr>
          <w:rFonts w:hint="eastAsia" w:ascii="宋体" w:hAnsi="宋体" w:cs="宋体"/>
          <w:sz w:val="24"/>
        </w:rPr>
      </w:pPr>
      <w:r>
        <w:rPr>
          <w:rFonts w:hint="eastAsia" w:ascii="宋体" w:hAnsi="宋体" w:cs="宋体"/>
          <w:sz w:val="24"/>
        </w:rPr>
        <w:t>项目编号：</w:t>
      </w:r>
    </w:p>
    <w:p w14:paraId="065D9363">
      <w:pPr>
        <w:snapToGrid w:val="0"/>
        <w:spacing w:before="50" w:after="120" w:afterLines="50" w:line="400" w:lineRule="exact"/>
        <w:jc w:val="left"/>
        <w:rPr>
          <w:rFonts w:hint="eastAsia" w:ascii="宋体" w:hAnsi="宋体" w:cs="宋体"/>
          <w:b/>
          <w:sz w:val="24"/>
        </w:rPr>
      </w:pPr>
      <w:r>
        <w:rPr>
          <w:rFonts w:hint="eastAsia" w:ascii="宋体" w:hAnsi="宋体" w:cs="宋体"/>
          <w:sz w:val="24"/>
        </w:rPr>
        <w:t xml:space="preserve">所投分标：                        </w:t>
      </w:r>
    </w:p>
    <w:p w14:paraId="4EEBE760">
      <w:pPr>
        <w:snapToGrid w:val="0"/>
        <w:spacing w:before="50" w:after="120" w:afterLines="50" w:line="400" w:lineRule="exact"/>
        <w:ind w:firstLine="117" w:firstLineChars="49"/>
        <w:jc w:val="right"/>
        <w:rPr>
          <w:rFonts w:hint="eastAsia" w:ascii="宋体" w:hAnsi="宋体" w:cs="宋体"/>
          <w:b/>
          <w:sz w:val="24"/>
        </w:rPr>
      </w:pPr>
      <w:r>
        <w:rPr>
          <w:rFonts w:hint="eastAsia" w:ascii="宋体" w:hAnsi="宋体" w:cs="宋体"/>
          <w:sz w:val="24"/>
        </w:rPr>
        <w:t xml:space="preserve">                                                金额单位：人民币（元）</w:t>
      </w:r>
    </w:p>
    <w:tbl>
      <w:tblPr>
        <w:tblStyle w:val="17"/>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3032"/>
        <w:gridCol w:w="1486"/>
        <w:gridCol w:w="2074"/>
      </w:tblGrid>
      <w:tr w14:paraId="7CE15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4B18205F">
            <w:pPr>
              <w:snapToGrid w:val="0"/>
              <w:spacing w:before="50" w:after="50" w:line="360" w:lineRule="exact"/>
              <w:rPr>
                <w:rFonts w:hint="eastAsia" w:ascii="宋体" w:hAnsi="宋体" w:cs="宋体"/>
                <w:szCs w:val="21"/>
              </w:rPr>
            </w:pPr>
            <w:r>
              <w:rPr>
                <w:rFonts w:hint="eastAsia" w:ascii="宋体" w:hAnsi="宋体" w:cs="宋体"/>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779EB5D3">
            <w:pPr>
              <w:snapToGrid w:val="0"/>
              <w:spacing w:before="50" w:after="50" w:line="360" w:lineRule="exact"/>
              <w:jc w:val="center"/>
              <w:rPr>
                <w:rFonts w:hint="eastAsia" w:ascii="宋体" w:hAnsi="宋体" w:cs="宋体"/>
                <w:szCs w:val="21"/>
              </w:rPr>
            </w:pPr>
            <w:r>
              <w:rPr>
                <w:rFonts w:hint="eastAsia" w:ascii="宋体" w:hAnsi="宋体" w:cs="宋体"/>
                <w:sz w:val="24"/>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14:paraId="1EB24D46">
            <w:pPr>
              <w:snapToGrid w:val="0"/>
              <w:spacing w:before="50" w:after="50" w:line="360" w:lineRule="exact"/>
              <w:jc w:val="center"/>
              <w:rPr>
                <w:rFonts w:hint="eastAsia" w:ascii="宋体" w:hAnsi="宋体" w:cs="宋体"/>
                <w:szCs w:val="21"/>
              </w:rPr>
            </w:pPr>
            <w:r>
              <w:rPr>
                <w:rFonts w:hint="eastAsia" w:ascii="宋体" w:hAnsi="宋体" w:cs="宋体"/>
                <w:sz w:val="24"/>
              </w:rPr>
              <w:t>服务商</w:t>
            </w:r>
          </w:p>
        </w:tc>
        <w:tc>
          <w:tcPr>
            <w:tcW w:w="3032" w:type="dxa"/>
            <w:tcBorders>
              <w:top w:val="single" w:color="auto" w:sz="4" w:space="0"/>
              <w:left w:val="single" w:color="auto" w:sz="4" w:space="0"/>
              <w:bottom w:val="single" w:color="auto" w:sz="4" w:space="0"/>
              <w:right w:val="single" w:color="auto" w:sz="4" w:space="0"/>
            </w:tcBorders>
            <w:vAlign w:val="center"/>
          </w:tcPr>
          <w:p w14:paraId="394B4661">
            <w:pPr>
              <w:snapToGrid w:val="0"/>
              <w:spacing w:before="50" w:after="50" w:line="360" w:lineRule="exact"/>
              <w:jc w:val="center"/>
              <w:rPr>
                <w:rFonts w:hint="eastAsia" w:ascii="宋体" w:hAnsi="宋体" w:cs="宋体"/>
                <w:szCs w:val="21"/>
              </w:rPr>
            </w:pPr>
            <w:r>
              <w:rPr>
                <w:rFonts w:hint="eastAsia" w:ascii="宋体" w:hAnsi="宋体" w:cs="宋体"/>
                <w:sz w:val="24"/>
              </w:rPr>
              <w:t>数量及单位</w:t>
            </w:r>
          </w:p>
        </w:tc>
        <w:tc>
          <w:tcPr>
            <w:tcW w:w="1486" w:type="dxa"/>
            <w:tcBorders>
              <w:top w:val="single" w:color="auto" w:sz="4" w:space="0"/>
              <w:left w:val="single" w:color="auto" w:sz="4" w:space="0"/>
              <w:bottom w:val="single" w:color="auto" w:sz="4" w:space="0"/>
              <w:right w:val="single" w:color="auto" w:sz="4" w:space="0"/>
            </w:tcBorders>
            <w:vAlign w:val="center"/>
          </w:tcPr>
          <w:p w14:paraId="17D7C9D0">
            <w:pPr>
              <w:snapToGrid w:val="0"/>
              <w:spacing w:before="50" w:after="50" w:line="360" w:lineRule="exact"/>
              <w:jc w:val="center"/>
              <w:rPr>
                <w:rFonts w:hint="eastAsia" w:ascii="宋体" w:hAnsi="宋体" w:cs="宋体"/>
                <w:szCs w:val="21"/>
              </w:rPr>
            </w:pPr>
            <w:r>
              <w:rPr>
                <w:rFonts w:hint="eastAsia" w:ascii="宋体" w:hAnsi="宋体" w:cs="宋体"/>
                <w:sz w:val="24"/>
              </w:rPr>
              <w:t>单价</w:t>
            </w:r>
          </w:p>
        </w:tc>
        <w:tc>
          <w:tcPr>
            <w:tcW w:w="2074" w:type="dxa"/>
            <w:tcBorders>
              <w:top w:val="single" w:color="auto" w:sz="4" w:space="0"/>
              <w:left w:val="single" w:color="auto" w:sz="4" w:space="0"/>
              <w:bottom w:val="single" w:color="auto" w:sz="4" w:space="0"/>
              <w:right w:val="single" w:color="auto" w:sz="4" w:space="0"/>
            </w:tcBorders>
            <w:vAlign w:val="center"/>
          </w:tcPr>
          <w:p w14:paraId="4C65EA7B">
            <w:pPr>
              <w:snapToGrid w:val="0"/>
              <w:spacing w:before="50" w:after="50" w:line="360" w:lineRule="exact"/>
              <w:jc w:val="center"/>
              <w:rPr>
                <w:rFonts w:hint="eastAsia" w:ascii="宋体" w:hAnsi="宋体" w:cs="宋体"/>
                <w:szCs w:val="21"/>
              </w:rPr>
            </w:pPr>
            <w:r>
              <w:rPr>
                <w:rFonts w:hint="eastAsia" w:ascii="宋体" w:hAnsi="宋体" w:cs="宋体"/>
                <w:sz w:val="24"/>
              </w:rPr>
              <w:t>投标报价</w:t>
            </w:r>
          </w:p>
        </w:tc>
      </w:tr>
      <w:tr w14:paraId="718A3B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4D8D52">
            <w:pPr>
              <w:snapToGrid w:val="0"/>
              <w:spacing w:before="50" w:after="50" w:line="360" w:lineRule="exact"/>
              <w:jc w:val="center"/>
              <w:rPr>
                <w:rFonts w:hint="eastAsia" w:ascii="宋体" w:hAnsi="宋体" w:cs="宋体"/>
                <w:szCs w:val="21"/>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7633714E">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E8EBA8B">
            <w:pPr>
              <w:snapToGrid w:val="0"/>
              <w:spacing w:before="50" w:after="50" w:line="360" w:lineRule="exact"/>
              <w:jc w:val="left"/>
              <w:rPr>
                <w:rFonts w:hint="eastAsia" w:ascii="宋体" w:hAnsi="宋体" w:cs="宋体"/>
                <w:bCs/>
                <w:szCs w:val="21"/>
              </w:rPr>
            </w:pPr>
          </w:p>
        </w:tc>
        <w:tc>
          <w:tcPr>
            <w:tcW w:w="3032" w:type="dxa"/>
            <w:tcBorders>
              <w:top w:val="single" w:color="auto" w:sz="4" w:space="0"/>
              <w:left w:val="single" w:color="auto" w:sz="4" w:space="0"/>
              <w:bottom w:val="single" w:color="auto" w:sz="4" w:space="0"/>
              <w:right w:val="single" w:color="auto" w:sz="4" w:space="0"/>
            </w:tcBorders>
            <w:vAlign w:val="center"/>
          </w:tcPr>
          <w:p w14:paraId="34972E0E">
            <w:pPr>
              <w:snapToGrid w:val="0"/>
              <w:spacing w:before="50" w:after="50" w:line="360" w:lineRule="exact"/>
              <w:rPr>
                <w:rFonts w:hint="eastAsia" w:ascii="宋体" w:hAnsi="宋体" w:cs="宋体"/>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26CE9479">
            <w:pPr>
              <w:snapToGrid w:val="0"/>
              <w:spacing w:before="50" w:after="50" w:line="360" w:lineRule="exact"/>
              <w:rPr>
                <w:rFonts w:hint="eastAsia" w:ascii="宋体" w:hAnsi="宋体" w:cs="宋体"/>
                <w:szCs w:val="21"/>
              </w:rPr>
            </w:pPr>
          </w:p>
        </w:tc>
        <w:tc>
          <w:tcPr>
            <w:tcW w:w="2074" w:type="dxa"/>
            <w:tcBorders>
              <w:top w:val="single" w:color="auto" w:sz="4" w:space="0"/>
              <w:left w:val="single" w:color="auto" w:sz="4" w:space="0"/>
              <w:bottom w:val="single" w:color="auto" w:sz="4" w:space="0"/>
              <w:right w:val="single" w:color="auto" w:sz="4" w:space="0"/>
            </w:tcBorders>
            <w:vAlign w:val="center"/>
          </w:tcPr>
          <w:p w14:paraId="5E22A113">
            <w:pPr>
              <w:snapToGrid w:val="0"/>
              <w:spacing w:before="50" w:after="50" w:line="360" w:lineRule="exact"/>
              <w:rPr>
                <w:rFonts w:hint="eastAsia" w:ascii="宋体" w:hAnsi="宋体" w:cs="宋体"/>
                <w:szCs w:val="21"/>
              </w:rPr>
            </w:pPr>
          </w:p>
        </w:tc>
      </w:tr>
      <w:tr w14:paraId="1943B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5F2528DF">
            <w:pPr>
              <w:snapToGrid w:val="0"/>
              <w:spacing w:before="50" w:after="50" w:line="360" w:lineRule="exact"/>
              <w:jc w:val="center"/>
              <w:rPr>
                <w:rFonts w:hint="eastAsia" w:ascii="宋体" w:hAnsi="宋体" w:cs="宋体"/>
                <w:szCs w:val="21"/>
              </w:rPr>
            </w:pPr>
            <w:r>
              <w:rPr>
                <w:rFonts w:hint="eastAsia" w:ascii="宋体" w:hAnsi="宋体" w:cs="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2F9DE787">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7C7EAD3">
            <w:pPr>
              <w:snapToGrid w:val="0"/>
              <w:spacing w:before="50" w:after="50" w:line="360" w:lineRule="exact"/>
              <w:jc w:val="left"/>
              <w:rPr>
                <w:rFonts w:hint="eastAsia" w:ascii="宋体" w:hAnsi="宋体" w:cs="宋体"/>
                <w:bCs/>
                <w:szCs w:val="21"/>
              </w:rPr>
            </w:pPr>
          </w:p>
        </w:tc>
        <w:tc>
          <w:tcPr>
            <w:tcW w:w="3032" w:type="dxa"/>
            <w:tcBorders>
              <w:top w:val="single" w:color="auto" w:sz="4" w:space="0"/>
              <w:left w:val="single" w:color="auto" w:sz="4" w:space="0"/>
              <w:bottom w:val="single" w:color="auto" w:sz="4" w:space="0"/>
              <w:right w:val="single" w:color="auto" w:sz="4" w:space="0"/>
            </w:tcBorders>
            <w:vAlign w:val="center"/>
          </w:tcPr>
          <w:p w14:paraId="2B88971E">
            <w:pPr>
              <w:snapToGrid w:val="0"/>
              <w:spacing w:before="50" w:after="50" w:line="360" w:lineRule="exact"/>
              <w:rPr>
                <w:rFonts w:hint="eastAsia" w:ascii="宋体" w:hAnsi="宋体" w:cs="宋体"/>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321A140B">
            <w:pPr>
              <w:snapToGrid w:val="0"/>
              <w:spacing w:before="50" w:after="50" w:line="360" w:lineRule="exact"/>
              <w:rPr>
                <w:rFonts w:hint="eastAsia" w:ascii="宋体" w:hAnsi="宋体" w:cs="宋体"/>
                <w:szCs w:val="21"/>
              </w:rPr>
            </w:pPr>
          </w:p>
        </w:tc>
        <w:tc>
          <w:tcPr>
            <w:tcW w:w="2074" w:type="dxa"/>
            <w:tcBorders>
              <w:top w:val="single" w:color="auto" w:sz="4" w:space="0"/>
              <w:left w:val="single" w:color="auto" w:sz="4" w:space="0"/>
              <w:bottom w:val="single" w:color="auto" w:sz="4" w:space="0"/>
              <w:right w:val="single" w:color="auto" w:sz="4" w:space="0"/>
            </w:tcBorders>
            <w:vAlign w:val="center"/>
          </w:tcPr>
          <w:p w14:paraId="2D7FC20A">
            <w:pPr>
              <w:snapToGrid w:val="0"/>
              <w:spacing w:before="50" w:after="50" w:line="360" w:lineRule="exact"/>
              <w:rPr>
                <w:rFonts w:hint="eastAsia" w:ascii="宋体" w:hAnsi="宋体" w:cs="宋体"/>
                <w:szCs w:val="21"/>
              </w:rPr>
            </w:pPr>
          </w:p>
        </w:tc>
      </w:tr>
      <w:tr w14:paraId="2CE5B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6"/>
            <w:tcBorders>
              <w:top w:val="single" w:color="auto" w:sz="4" w:space="0"/>
              <w:left w:val="single" w:color="auto" w:sz="4" w:space="0"/>
              <w:bottom w:val="single" w:color="auto" w:sz="4" w:space="0"/>
              <w:right w:val="single" w:color="auto" w:sz="4" w:space="0"/>
            </w:tcBorders>
            <w:vAlign w:val="center"/>
          </w:tcPr>
          <w:p w14:paraId="56CA6085">
            <w:pPr>
              <w:snapToGrid w:val="0"/>
              <w:spacing w:before="50" w:after="50" w:line="360" w:lineRule="exact"/>
              <w:rPr>
                <w:rFonts w:hint="eastAsia" w:ascii="宋体" w:hAnsi="宋体" w:cs="宋体"/>
                <w:szCs w:val="21"/>
                <w:u w:val="single"/>
              </w:rPr>
            </w:pPr>
            <w:r>
              <w:rPr>
                <w:rFonts w:hint="eastAsia" w:ascii="宋体" w:hAnsi="宋体" w:cs="宋体"/>
                <w:sz w:val="24"/>
              </w:rPr>
              <w:t>合计金额大写：</w:t>
            </w:r>
            <w:r>
              <w:rPr>
                <w:rFonts w:hint="eastAsia" w:ascii="宋体" w:hAnsi="宋体" w:cs="宋体"/>
                <w:sz w:val="24"/>
                <w:u w:val="single"/>
              </w:rPr>
              <w:t xml:space="preserve">                                        ¥            </w:t>
            </w:r>
          </w:p>
        </w:tc>
      </w:tr>
    </w:tbl>
    <w:p w14:paraId="041A198F">
      <w:pPr>
        <w:snapToGrid w:val="0"/>
        <w:spacing w:before="50" w:after="50" w:line="400" w:lineRule="exact"/>
        <w:jc w:val="left"/>
        <w:rPr>
          <w:rFonts w:hint="eastAsia" w:ascii="宋体" w:hAnsi="宋体" w:cs="宋体"/>
          <w:sz w:val="24"/>
        </w:rPr>
      </w:pPr>
    </w:p>
    <w:p w14:paraId="7853245D">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注：1.</w:t>
      </w:r>
      <w:r>
        <w:rPr>
          <w:rFonts w:hint="eastAsia" w:ascii="宋体" w:hAnsi="宋体" w:cs="宋体"/>
          <w:b/>
          <w:sz w:val="24"/>
        </w:rPr>
        <w:t>此项材料必须</w:t>
      </w:r>
      <w:r>
        <w:rPr>
          <w:rFonts w:hint="eastAsia" w:ascii="宋体" w:hAnsi="宋体" w:cs="宋体"/>
          <w:b/>
          <w:bCs/>
          <w:sz w:val="24"/>
        </w:rPr>
        <w:t>以PDF格式上传；</w:t>
      </w:r>
    </w:p>
    <w:p w14:paraId="28A70470">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2.报价一经涂改，应在涂改处加盖投标人CA电子签章或者由法定代表人或授权委托代理人签字或盖章，否则其投标作无效标处理；</w:t>
      </w:r>
    </w:p>
    <w:p w14:paraId="2A6211E2">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3.投标报价包括系统产品交付的所有成本、各种费用的总和。</w:t>
      </w:r>
    </w:p>
    <w:p w14:paraId="0F54D2BC">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4.以上报价应与“投标报价明细表”中的“投标总价”相一致。</w:t>
      </w:r>
    </w:p>
    <w:p w14:paraId="442542A6">
      <w:pPr>
        <w:snapToGrid w:val="0"/>
        <w:spacing w:before="50" w:after="50" w:line="400" w:lineRule="exact"/>
        <w:ind w:right="-817" w:rightChars="-389"/>
        <w:rPr>
          <w:rFonts w:hint="eastAsia" w:ascii="宋体" w:hAnsi="宋体" w:cs="宋体"/>
          <w:b/>
          <w:sz w:val="24"/>
        </w:rPr>
      </w:pPr>
    </w:p>
    <w:p w14:paraId="647AB7AA">
      <w:pPr>
        <w:snapToGrid w:val="0"/>
        <w:spacing w:before="50" w:after="50" w:line="400" w:lineRule="exact"/>
        <w:ind w:right="-817" w:rightChars="-389"/>
        <w:rPr>
          <w:rFonts w:hint="eastAsia" w:ascii="宋体" w:hAnsi="宋体" w:cs="宋体"/>
          <w:b/>
          <w:sz w:val="24"/>
        </w:rPr>
      </w:pPr>
    </w:p>
    <w:p w14:paraId="52E4DB09">
      <w:pPr>
        <w:snapToGrid w:val="0"/>
        <w:spacing w:before="50" w:after="50" w:line="400" w:lineRule="exact"/>
        <w:ind w:left="-2" w:leftChars="-1" w:right="-817" w:rightChars="-389" w:firstLine="480" w:firstLineChars="200"/>
        <w:jc w:val="left"/>
        <w:rPr>
          <w:rFonts w:hint="eastAsia" w:ascii="宋体" w:hAnsi="宋体" w:cs="宋体"/>
          <w:sz w:val="24"/>
        </w:rPr>
      </w:pPr>
      <w:r>
        <w:rPr>
          <w:rFonts w:hint="eastAsia" w:ascii="宋体" w:hAnsi="宋体" w:cs="宋体"/>
          <w:sz w:val="24"/>
        </w:rPr>
        <w:t xml:space="preserve">                           法定代表人或委托代理人</w:t>
      </w:r>
      <w:r>
        <w:rPr>
          <w:rFonts w:hint="eastAsia" w:ascii="宋体" w:hAnsi="宋体" w:cs="宋体"/>
          <w:b/>
          <w:bCs/>
          <w:sz w:val="24"/>
        </w:rPr>
        <w:t>（签字）：</w:t>
      </w:r>
      <w:r>
        <w:rPr>
          <w:rFonts w:hint="eastAsia" w:ascii="宋体" w:hAnsi="宋体" w:cs="宋体"/>
          <w:sz w:val="24"/>
          <w:u w:val="single"/>
        </w:rPr>
        <w:t xml:space="preserve">                </w:t>
      </w:r>
    </w:p>
    <w:p w14:paraId="30B3BFC9">
      <w:pPr>
        <w:pStyle w:val="11"/>
        <w:spacing w:line="400" w:lineRule="exact"/>
        <w:ind w:firstLine="5520" w:firstLineChars="2300"/>
        <w:rPr>
          <w:rFonts w:hint="eastAsia" w:hAnsi="宋体" w:cs="宋体"/>
          <w:sz w:val="24"/>
          <w:szCs w:val="24"/>
        </w:rPr>
      </w:pPr>
      <w:r>
        <w:rPr>
          <w:rFonts w:hint="eastAsia" w:hAnsi="宋体" w:cs="宋体"/>
          <w:sz w:val="24"/>
          <w:szCs w:val="24"/>
        </w:rPr>
        <w:t>投标人</w:t>
      </w:r>
      <w:r>
        <w:rPr>
          <w:rFonts w:hint="eastAsia" w:hAnsi="宋体" w:cs="宋体"/>
          <w:b/>
          <w:bCs/>
          <w:sz w:val="24"/>
          <w:szCs w:val="24"/>
        </w:rPr>
        <w:t>（CA电子签章）</w:t>
      </w:r>
      <w:r>
        <w:rPr>
          <w:rFonts w:hint="eastAsia" w:hAnsi="宋体" w:cs="宋体"/>
          <w:sz w:val="24"/>
          <w:szCs w:val="24"/>
        </w:rPr>
        <w:t>：</w:t>
      </w:r>
      <w:r>
        <w:rPr>
          <w:rFonts w:hint="eastAsia" w:hAnsi="宋体" w:cs="宋体"/>
          <w:sz w:val="24"/>
          <w:szCs w:val="24"/>
          <w:u w:val="single"/>
        </w:rPr>
        <w:t xml:space="preserve">                               </w:t>
      </w:r>
    </w:p>
    <w:p w14:paraId="7AD161D9">
      <w:pPr>
        <w:snapToGrid w:val="0"/>
        <w:spacing w:before="50" w:after="50" w:line="400" w:lineRule="exact"/>
        <w:ind w:left="-2" w:leftChars="-1" w:right="-817" w:rightChars="-389" w:firstLine="480" w:firstLineChars="200"/>
        <w:jc w:val="right"/>
        <w:rPr>
          <w:rFonts w:hint="eastAsia" w:ascii="宋体" w:hAnsi="宋体" w:cs="宋体"/>
          <w:sz w:val="24"/>
        </w:rPr>
      </w:pPr>
    </w:p>
    <w:p w14:paraId="4DA3CE3F">
      <w:pPr>
        <w:pStyle w:val="12"/>
      </w:pPr>
      <w:r>
        <w:rPr>
          <w:rFonts w:hint="eastAsia" w:ascii="宋体" w:hAnsi="宋体" w:cs="宋体"/>
          <w:sz w:val="24"/>
        </w:rPr>
        <w:t xml:space="preserve">                                         日期：       年   月   日</w:t>
      </w:r>
    </w:p>
    <w:p w14:paraId="202C3003">
      <w:pPr>
        <w:pStyle w:val="11"/>
        <w:spacing w:line="400" w:lineRule="exact"/>
        <w:ind w:firstLine="4725" w:firstLineChars="2250"/>
        <w:rPr>
          <w:rFonts w:hint="eastAsia" w:hAnsi="宋体" w:cs="宋体"/>
          <w:u w:val="single"/>
        </w:rPr>
      </w:pPr>
    </w:p>
    <w:p w14:paraId="5A3AB6DC">
      <w:pPr>
        <w:pStyle w:val="11"/>
        <w:spacing w:line="400" w:lineRule="exact"/>
        <w:rPr>
          <w:rFonts w:hint="eastAsia" w:hAnsi="宋体" w:cs="宋体"/>
        </w:rPr>
      </w:pPr>
    </w:p>
    <w:p w14:paraId="1985F29C">
      <w:pPr>
        <w:pStyle w:val="11"/>
        <w:spacing w:line="400" w:lineRule="exact"/>
        <w:rPr>
          <w:rFonts w:hint="eastAsia" w:hAnsi="宋体" w:cs="宋体"/>
          <w:b/>
          <w:sz w:val="24"/>
        </w:rPr>
      </w:pPr>
      <w:r>
        <w:rPr>
          <w:rFonts w:hint="eastAsia" w:hAnsi="宋体" w:cs="宋体"/>
          <w:b/>
          <w:bCs/>
          <w:sz w:val="32"/>
          <w:szCs w:val="32"/>
        </w:rPr>
        <w:br w:type="page"/>
      </w:r>
      <w:r>
        <w:rPr>
          <w:rFonts w:hint="eastAsia" w:hAnsi="宋体" w:cs="宋体"/>
          <w:b/>
          <w:sz w:val="24"/>
        </w:rPr>
        <w:t>（2）投标报价明细表格式（必须提供）：</w:t>
      </w:r>
    </w:p>
    <w:p w14:paraId="42B91899">
      <w:pPr>
        <w:snapToGrid w:val="0"/>
        <w:spacing w:before="50" w:after="50" w:line="400" w:lineRule="exact"/>
        <w:jc w:val="center"/>
        <w:rPr>
          <w:rFonts w:hint="eastAsia" w:ascii="宋体" w:hAnsi="宋体" w:cs="宋体"/>
          <w:b/>
          <w:sz w:val="32"/>
          <w:szCs w:val="32"/>
        </w:rPr>
      </w:pPr>
    </w:p>
    <w:p w14:paraId="51F17BD3">
      <w:pPr>
        <w:snapToGrid w:val="0"/>
        <w:spacing w:before="50" w:after="50" w:line="400" w:lineRule="exact"/>
        <w:jc w:val="center"/>
        <w:rPr>
          <w:rFonts w:hint="eastAsia" w:ascii="宋体" w:hAnsi="宋体" w:cs="宋体"/>
          <w:b/>
          <w:sz w:val="32"/>
          <w:szCs w:val="32"/>
        </w:rPr>
      </w:pPr>
      <w:r>
        <w:rPr>
          <w:rFonts w:hint="eastAsia" w:ascii="宋体" w:hAnsi="宋体" w:cs="宋体"/>
          <w:b/>
          <w:sz w:val="32"/>
          <w:szCs w:val="32"/>
        </w:rPr>
        <w:t>投标报价明细表</w:t>
      </w:r>
      <w:r>
        <w:rPr>
          <w:rFonts w:hint="eastAsia" w:ascii="宋体" w:hAnsi="宋体" w:cs="宋体"/>
          <w:b/>
          <w:bCs/>
          <w:sz w:val="32"/>
          <w:szCs w:val="32"/>
        </w:rPr>
        <w:t>（1分标、2分标、3分标格式）</w:t>
      </w:r>
    </w:p>
    <w:p w14:paraId="38282A1D">
      <w:pPr>
        <w:snapToGrid w:val="0"/>
        <w:spacing w:before="50" w:after="120" w:afterLines="50" w:line="400" w:lineRule="exact"/>
        <w:jc w:val="left"/>
        <w:rPr>
          <w:rFonts w:hint="eastAsia" w:ascii="宋体" w:hAnsi="宋体" w:cs="宋体"/>
          <w:sz w:val="24"/>
        </w:rPr>
      </w:pPr>
      <w:r>
        <w:rPr>
          <w:rFonts w:hint="eastAsia" w:ascii="宋体" w:hAnsi="宋体" w:cs="宋体"/>
          <w:sz w:val="24"/>
        </w:rPr>
        <w:t>项目名称：</w:t>
      </w:r>
    </w:p>
    <w:p w14:paraId="77E479EA">
      <w:pPr>
        <w:snapToGrid w:val="0"/>
        <w:spacing w:before="50" w:after="120" w:afterLines="50" w:line="400" w:lineRule="exact"/>
        <w:jc w:val="left"/>
        <w:rPr>
          <w:rFonts w:hint="eastAsia" w:ascii="宋体" w:hAnsi="宋体" w:cs="宋体"/>
          <w:sz w:val="24"/>
        </w:rPr>
      </w:pPr>
      <w:r>
        <w:rPr>
          <w:rFonts w:hint="eastAsia" w:ascii="宋体" w:hAnsi="宋体" w:cs="宋体"/>
          <w:sz w:val="24"/>
        </w:rPr>
        <w:t>项目编号：</w:t>
      </w:r>
    </w:p>
    <w:p w14:paraId="13260EFB">
      <w:pPr>
        <w:pStyle w:val="12"/>
        <w:rPr>
          <w:rFonts w:hint="eastAsia" w:ascii="宋体" w:hAnsi="宋体" w:cs="宋体"/>
          <w:sz w:val="24"/>
        </w:rPr>
      </w:pPr>
    </w:p>
    <w:p w14:paraId="36196829">
      <w:pPr>
        <w:pStyle w:val="12"/>
      </w:pPr>
      <w:r>
        <w:rPr>
          <w:rFonts w:hint="eastAsia" w:ascii="宋体" w:hAnsi="宋体" w:cs="宋体"/>
          <w:sz w:val="24"/>
        </w:rPr>
        <w:t>所投分标：</w:t>
      </w:r>
    </w:p>
    <w:p w14:paraId="07BDB07C">
      <w:pPr>
        <w:spacing w:line="500" w:lineRule="exact"/>
        <w:rPr>
          <w:rFonts w:hint="eastAsia" w:ascii="宋体" w:hAnsi="宋体" w:cs="宋体"/>
          <w:sz w:val="24"/>
        </w:rPr>
      </w:pPr>
    </w:p>
    <w:p w14:paraId="13283262">
      <w:pPr>
        <w:snapToGrid w:val="0"/>
        <w:spacing w:before="50" w:after="120" w:afterLines="50" w:line="400" w:lineRule="exact"/>
        <w:ind w:firstLine="102" w:firstLineChars="49"/>
        <w:jc w:val="right"/>
        <w:rPr>
          <w:rFonts w:hint="eastAsia" w:ascii="宋体" w:hAnsi="宋体" w:cs="宋体"/>
          <w:b/>
          <w:szCs w:val="21"/>
        </w:rPr>
      </w:pPr>
      <w:r>
        <w:rPr>
          <w:rFonts w:hint="eastAsia" w:ascii="宋体" w:hAnsi="宋体" w:cs="宋体"/>
        </w:rPr>
        <w:t xml:space="preserve"> 金额单位：人民币（元）</w:t>
      </w:r>
    </w:p>
    <w:tbl>
      <w:tblPr>
        <w:tblStyle w:val="17"/>
        <w:tblW w:w="106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1300"/>
        <w:gridCol w:w="1172"/>
        <w:gridCol w:w="717"/>
        <w:gridCol w:w="1192"/>
        <w:gridCol w:w="1588"/>
        <w:gridCol w:w="991"/>
        <w:gridCol w:w="836"/>
        <w:gridCol w:w="2121"/>
      </w:tblGrid>
      <w:tr w14:paraId="6796B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082188F6">
            <w:pPr>
              <w:snapToGrid w:val="0"/>
              <w:spacing w:before="50" w:after="50" w:line="360" w:lineRule="exact"/>
              <w:jc w:val="center"/>
              <w:rPr>
                <w:rFonts w:hint="eastAsia" w:ascii="宋体" w:hAnsi="宋体" w:cs="宋体"/>
                <w:sz w:val="24"/>
              </w:rPr>
            </w:pPr>
            <w:r>
              <w:rPr>
                <w:rFonts w:hint="eastAsia" w:ascii="宋体" w:hAnsi="宋体" w:cs="宋体"/>
                <w:sz w:val="24"/>
              </w:rPr>
              <w:t>序号</w:t>
            </w:r>
          </w:p>
        </w:tc>
        <w:tc>
          <w:tcPr>
            <w:tcW w:w="1300" w:type="dxa"/>
            <w:tcBorders>
              <w:top w:val="single" w:color="auto" w:sz="4" w:space="0"/>
              <w:left w:val="single" w:color="auto" w:sz="4" w:space="0"/>
              <w:bottom w:val="single" w:color="auto" w:sz="4" w:space="0"/>
              <w:right w:val="single" w:color="auto" w:sz="4" w:space="0"/>
            </w:tcBorders>
            <w:vAlign w:val="center"/>
          </w:tcPr>
          <w:p w14:paraId="098FF10E">
            <w:pPr>
              <w:snapToGrid w:val="0"/>
              <w:spacing w:before="50" w:after="50" w:line="360" w:lineRule="exact"/>
              <w:jc w:val="center"/>
              <w:rPr>
                <w:rFonts w:hint="eastAsia" w:ascii="宋体" w:hAnsi="宋体" w:cs="宋体"/>
                <w:sz w:val="24"/>
              </w:rPr>
            </w:pPr>
            <w:r>
              <w:rPr>
                <w:rFonts w:hint="eastAsia" w:ascii="宋体" w:hAnsi="宋体" w:cs="宋体"/>
                <w:sz w:val="24"/>
              </w:rPr>
              <w:t>货物名称</w:t>
            </w:r>
          </w:p>
        </w:tc>
        <w:tc>
          <w:tcPr>
            <w:tcW w:w="1172" w:type="dxa"/>
            <w:tcBorders>
              <w:top w:val="single" w:color="auto" w:sz="4" w:space="0"/>
              <w:left w:val="single" w:color="auto" w:sz="4" w:space="0"/>
              <w:bottom w:val="single" w:color="auto" w:sz="4" w:space="0"/>
              <w:right w:val="single" w:color="auto" w:sz="4" w:space="0"/>
            </w:tcBorders>
            <w:vAlign w:val="center"/>
          </w:tcPr>
          <w:p w14:paraId="721F5596">
            <w:pPr>
              <w:snapToGrid w:val="0"/>
              <w:spacing w:before="50" w:after="50" w:line="360" w:lineRule="exact"/>
              <w:jc w:val="center"/>
              <w:rPr>
                <w:rFonts w:hint="eastAsia" w:ascii="宋体" w:hAnsi="宋体" w:cs="宋体"/>
                <w:sz w:val="24"/>
              </w:rPr>
            </w:pPr>
            <w:r>
              <w:rPr>
                <w:rFonts w:hint="eastAsia" w:ascii="宋体" w:hAnsi="宋体" w:cs="宋体"/>
                <w:sz w:val="24"/>
              </w:rPr>
              <w:t>生产厂家</w:t>
            </w:r>
          </w:p>
        </w:tc>
        <w:tc>
          <w:tcPr>
            <w:tcW w:w="717" w:type="dxa"/>
            <w:tcBorders>
              <w:top w:val="single" w:color="auto" w:sz="4" w:space="0"/>
              <w:left w:val="single" w:color="auto" w:sz="4" w:space="0"/>
              <w:bottom w:val="single" w:color="auto" w:sz="4" w:space="0"/>
              <w:right w:val="single" w:color="auto" w:sz="4" w:space="0"/>
            </w:tcBorders>
            <w:vAlign w:val="center"/>
          </w:tcPr>
          <w:p w14:paraId="372361D7">
            <w:pPr>
              <w:snapToGrid w:val="0"/>
              <w:spacing w:before="50" w:after="50" w:line="360" w:lineRule="exact"/>
              <w:jc w:val="center"/>
              <w:rPr>
                <w:rFonts w:hint="eastAsia" w:ascii="宋体" w:hAnsi="宋体" w:cs="宋体"/>
                <w:sz w:val="24"/>
              </w:rPr>
            </w:pPr>
            <w:r>
              <w:rPr>
                <w:rFonts w:hint="eastAsia" w:ascii="宋体" w:hAnsi="宋体" w:cs="宋体"/>
                <w:sz w:val="24"/>
              </w:rPr>
              <w:t>品牌</w:t>
            </w:r>
          </w:p>
        </w:tc>
        <w:tc>
          <w:tcPr>
            <w:tcW w:w="1192" w:type="dxa"/>
            <w:tcBorders>
              <w:top w:val="single" w:color="auto" w:sz="4" w:space="0"/>
              <w:left w:val="single" w:color="auto" w:sz="4" w:space="0"/>
              <w:bottom w:val="single" w:color="auto" w:sz="4" w:space="0"/>
              <w:right w:val="single" w:color="auto" w:sz="4" w:space="0"/>
            </w:tcBorders>
            <w:vAlign w:val="center"/>
          </w:tcPr>
          <w:p w14:paraId="636D42CE">
            <w:pPr>
              <w:snapToGrid w:val="0"/>
              <w:spacing w:before="50" w:after="50" w:line="360" w:lineRule="exact"/>
              <w:jc w:val="center"/>
              <w:rPr>
                <w:rFonts w:hint="eastAsia" w:ascii="宋体" w:hAnsi="宋体" w:cs="宋体"/>
                <w:sz w:val="24"/>
              </w:rPr>
            </w:pPr>
            <w:r>
              <w:rPr>
                <w:rFonts w:hint="eastAsia" w:ascii="宋体" w:hAnsi="宋体" w:cs="宋体"/>
                <w:sz w:val="24"/>
              </w:rPr>
              <w:t>规格型号</w:t>
            </w:r>
          </w:p>
        </w:tc>
        <w:tc>
          <w:tcPr>
            <w:tcW w:w="1588" w:type="dxa"/>
            <w:tcBorders>
              <w:top w:val="single" w:color="auto" w:sz="4" w:space="0"/>
              <w:left w:val="single" w:color="auto" w:sz="4" w:space="0"/>
              <w:bottom w:val="single" w:color="auto" w:sz="4" w:space="0"/>
              <w:right w:val="single" w:color="auto" w:sz="4" w:space="0"/>
            </w:tcBorders>
            <w:vAlign w:val="center"/>
          </w:tcPr>
          <w:p w14:paraId="71A8C089">
            <w:pPr>
              <w:snapToGrid w:val="0"/>
              <w:spacing w:before="50" w:after="50" w:line="360" w:lineRule="exact"/>
              <w:jc w:val="center"/>
              <w:rPr>
                <w:rFonts w:hint="eastAsia" w:ascii="宋体" w:hAnsi="宋体" w:cs="宋体"/>
                <w:sz w:val="24"/>
              </w:rPr>
            </w:pPr>
            <w:r>
              <w:rPr>
                <w:rFonts w:hint="eastAsia" w:ascii="宋体" w:hAnsi="宋体" w:cs="宋体"/>
                <w:sz w:val="24"/>
              </w:rPr>
              <w:t>数量及单位</w:t>
            </w:r>
          </w:p>
        </w:tc>
        <w:tc>
          <w:tcPr>
            <w:tcW w:w="991" w:type="dxa"/>
            <w:tcBorders>
              <w:top w:val="single" w:color="auto" w:sz="4" w:space="0"/>
              <w:left w:val="single" w:color="auto" w:sz="4" w:space="0"/>
              <w:bottom w:val="single" w:color="auto" w:sz="4" w:space="0"/>
              <w:right w:val="single" w:color="auto" w:sz="4" w:space="0"/>
            </w:tcBorders>
            <w:vAlign w:val="center"/>
          </w:tcPr>
          <w:p w14:paraId="71EF3097">
            <w:pPr>
              <w:snapToGrid w:val="0"/>
              <w:spacing w:before="50" w:after="50" w:line="360" w:lineRule="exact"/>
              <w:jc w:val="center"/>
              <w:rPr>
                <w:rFonts w:hint="eastAsia" w:ascii="宋体" w:hAnsi="宋体" w:cs="宋体"/>
                <w:sz w:val="24"/>
              </w:rPr>
            </w:pPr>
            <w:r>
              <w:rPr>
                <w:rFonts w:hint="eastAsia" w:ascii="宋体" w:hAnsi="宋体" w:cs="宋体"/>
                <w:sz w:val="24"/>
              </w:rPr>
              <w:t>单价</w:t>
            </w:r>
          </w:p>
        </w:tc>
        <w:tc>
          <w:tcPr>
            <w:tcW w:w="836" w:type="dxa"/>
            <w:tcBorders>
              <w:top w:val="single" w:color="auto" w:sz="4" w:space="0"/>
              <w:left w:val="single" w:color="auto" w:sz="4" w:space="0"/>
              <w:bottom w:val="single" w:color="auto" w:sz="4" w:space="0"/>
              <w:right w:val="single" w:color="auto" w:sz="4" w:space="0"/>
            </w:tcBorders>
            <w:vAlign w:val="center"/>
          </w:tcPr>
          <w:p w14:paraId="0028158F">
            <w:pPr>
              <w:snapToGrid w:val="0"/>
              <w:spacing w:before="50" w:after="50" w:line="360" w:lineRule="exact"/>
              <w:jc w:val="center"/>
              <w:rPr>
                <w:rFonts w:hint="eastAsia" w:ascii="宋体" w:hAnsi="宋体" w:cs="宋体"/>
                <w:sz w:val="24"/>
              </w:rPr>
            </w:pPr>
            <w:r>
              <w:rPr>
                <w:rFonts w:hint="eastAsia" w:ascii="宋体" w:hAnsi="宋体" w:cs="宋体"/>
                <w:sz w:val="24"/>
              </w:rPr>
              <w:t>单项合价</w:t>
            </w:r>
          </w:p>
        </w:tc>
        <w:tc>
          <w:tcPr>
            <w:tcW w:w="2121" w:type="dxa"/>
            <w:tcBorders>
              <w:top w:val="single" w:color="auto" w:sz="4" w:space="0"/>
              <w:left w:val="single" w:color="auto" w:sz="4" w:space="0"/>
              <w:bottom w:val="single" w:color="auto" w:sz="4" w:space="0"/>
              <w:right w:val="single" w:color="auto" w:sz="4" w:space="0"/>
            </w:tcBorders>
            <w:vAlign w:val="center"/>
          </w:tcPr>
          <w:p w14:paraId="1CCFB670">
            <w:pPr>
              <w:snapToGrid w:val="0"/>
              <w:spacing w:before="50" w:after="50" w:line="360" w:lineRule="exact"/>
              <w:jc w:val="center"/>
              <w:rPr>
                <w:rFonts w:hint="eastAsia" w:ascii="宋体" w:hAnsi="宋体" w:cs="宋体"/>
                <w:sz w:val="24"/>
              </w:rPr>
            </w:pPr>
            <w:r>
              <w:rPr>
                <w:rFonts w:hint="eastAsia" w:ascii="宋体" w:hAnsi="宋体" w:cs="宋体"/>
                <w:sz w:val="24"/>
              </w:rPr>
              <w:t>厂家类型（大型、中型、小型、微型）</w:t>
            </w:r>
          </w:p>
        </w:tc>
      </w:tr>
      <w:tr w14:paraId="10F1B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1BCF8D57">
            <w:pPr>
              <w:snapToGrid w:val="0"/>
              <w:spacing w:before="50" w:after="50" w:line="360" w:lineRule="exact"/>
              <w:jc w:val="center"/>
              <w:rPr>
                <w:rFonts w:hint="eastAsia" w:ascii="宋体" w:hAnsi="宋体" w:cs="宋体"/>
                <w:sz w:val="24"/>
              </w:rPr>
            </w:pPr>
            <w:r>
              <w:rPr>
                <w:rFonts w:hint="eastAsia" w:ascii="宋体" w:hAnsi="宋体" w:cs="宋体"/>
                <w:sz w:val="24"/>
              </w:rPr>
              <w:t>1</w:t>
            </w:r>
          </w:p>
        </w:tc>
        <w:tc>
          <w:tcPr>
            <w:tcW w:w="1300" w:type="dxa"/>
            <w:tcBorders>
              <w:top w:val="single" w:color="auto" w:sz="4" w:space="0"/>
              <w:left w:val="single" w:color="auto" w:sz="4" w:space="0"/>
              <w:bottom w:val="single" w:color="auto" w:sz="4" w:space="0"/>
              <w:right w:val="single" w:color="auto" w:sz="4" w:space="0"/>
            </w:tcBorders>
            <w:vAlign w:val="center"/>
          </w:tcPr>
          <w:p w14:paraId="046DF676">
            <w:pPr>
              <w:snapToGrid w:val="0"/>
              <w:spacing w:before="50" w:after="50" w:line="360" w:lineRule="exact"/>
              <w:jc w:val="center"/>
              <w:rPr>
                <w:rFonts w:hint="eastAsia" w:ascii="宋体" w:hAnsi="宋体" w:cs="宋体"/>
                <w:bCs/>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0994B4A8">
            <w:pPr>
              <w:snapToGrid w:val="0"/>
              <w:spacing w:before="50" w:after="50" w:line="360" w:lineRule="exact"/>
              <w:jc w:val="left"/>
              <w:rPr>
                <w:rFonts w:hint="eastAsia" w:ascii="宋体" w:hAnsi="宋体" w:cs="宋体"/>
                <w:bCs/>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28E355D1">
            <w:pPr>
              <w:snapToGrid w:val="0"/>
              <w:spacing w:before="50" w:after="50" w:line="360" w:lineRule="exact"/>
              <w:jc w:val="center"/>
              <w:rPr>
                <w:rFonts w:hint="eastAsia" w:ascii="宋体" w:hAnsi="宋体" w:cs="宋体"/>
                <w:sz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34600306">
            <w:pPr>
              <w:snapToGrid w:val="0"/>
              <w:spacing w:before="50" w:after="50" w:line="360" w:lineRule="exact"/>
              <w:jc w:val="center"/>
              <w:rPr>
                <w:rFonts w:hint="eastAsia" w:ascii="宋体" w:hAnsi="宋体" w:cs="宋体"/>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6260DDB0">
            <w:pPr>
              <w:snapToGrid w:val="0"/>
              <w:spacing w:before="50" w:after="50" w:line="360" w:lineRule="exact"/>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392580FB">
            <w:pPr>
              <w:snapToGrid w:val="0"/>
              <w:spacing w:before="50" w:after="50" w:line="360" w:lineRule="exact"/>
              <w:rPr>
                <w:rFonts w:hint="eastAsia" w:ascii="宋体" w:hAnsi="宋体" w:cs="宋体"/>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6ED1E111">
            <w:pPr>
              <w:snapToGrid w:val="0"/>
              <w:spacing w:before="50" w:after="50" w:line="360" w:lineRule="exact"/>
              <w:rPr>
                <w:rFonts w:hint="eastAsia" w:ascii="宋体" w:hAnsi="宋体" w:cs="宋体"/>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04B438BF">
            <w:pPr>
              <w:snapToGrid w:val="0"/>
              <w:spacing w:before="50" w:after="50" w:line="360" w:lineRule="exact"/>
              <w:rPr>
                <w:rFonts w:hint="eastAsia" w:ascii="宋体" w:hAnsi="宋体" w:cs="宋体"/>
                <w:sz w:val="24"/>
              </w:rPr>
            </w:pPr>
          </w:p>
        </w:tc>
      </w:tr>
      <w:tr w14:paraId="71769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14:paraId="24E0D32E">
            <w:pPr>
              <w:widowControl/>
              <w:jc w:val="center"/>
              <w:rPr>
                <w:rFonts w:hint="eastAsia" w:ascii="宋体" w:hAnsi="宋体" w:cs="宋体"/>
                <w:sz w:val="24"/>
              </w:rPr>
            </w:pPr>
            <w:r>
              <w:rPr>
                <w:rFonts w:hint="eastAsia" w:ascii="宋体" w:hAnsi="宋体" w:cs="宋体"/>
                <w:sz w:val="24"/>
              </w:rPr>
              <w:t>...</w:t>
            </w:r>
          </w:p>
        </w:tc>
        <w:tc>
          <w:tcPr>
            <w:tcW w:w="1300" w:type="dxa"/>
            <w:tcBorders>
              <w:top w:val="single" w:color="auto" w:sz="4" w:space="0"/>
              <w:left w:val="single" w:color="auto" w:sz="4" w:space="0"/>
              <w:bottom w:val="single" w:color="auto" w:sz="4" w:space="0"/>
              <w:right w:val="single" w:color="auto" w:sz="4" w:space="0"/>
            </w:tcBorders>
            <w:vAlign w:val="center"/>
          </w:tcPr>
          <w:p w14:paraId="60124F5F">
            <w:pPr>
              <w:snapToGrid w:val="0"/>
              <w:spacing w:before="50" w:after="50" w:line="360" w:lineRule="exact"/>
              <w:jc w:val="center"/>
              <w:rPr>
                <w:rFonts w:hint="eastAsia" w:ascii="宋体" w:hAnsi="宋体" w:cs="宋体"/>
                <w:bCs/>
                <w:sz w:val="24"/>
              </w:rPr>
            </w:pPr>
          </w:p>
        </w:tc>
        <w:tc>
          <w:tcPr>
            <w:tcW w:w="1172" w:type="dxa"/>
            <w:tcBorders>
              <w:top w:val="single" w:color="auto" w:sz="4" w:space="0"/>
              <w:left w:val="single" w:color="auto" w:sz="4" w:space="0"/>
              <w:bottom w:val="single" w:color="auto" w:sz="4" w:space="0"/>
              <w:right w:val="single" w:color="auto" w:sz="4" w:space="0"/>
            </w:tcBorders>
            <w:vAlign w:val="center"/>
          </w:tcPr>
          <w:p w14:paraId="397BCA2D">
            <w:pPr>
              <w:snapToGrid w:val="0"/>
              <w:spacing w:before="50" w:after="50" w:line="360" w:lineRule="exact"/>
              <w:jc w:val="center"/>
              <w:rPr>
                <w:rFonts w:hint="eastAsia" w:ascii="宋体" w:hAnsi="宋体" w:cs="宋体"/>
                <w:bCs/>
                <w:sz w:val="24"/>
              </w:rPr>
            </w:pPr>
          </w:p>
        </w:tc>
        <w:tc>
          <w:tcPr>
            <w:tcW w:w="717" w:type="dxa"/>
            <w:tcBorders>
              <w:top w:val="single" w:color="auto" w:sz="4" w:space="0"/>
              <w:left w:val="single" w:color="auto" w:sz="4" w:space="0"/>
              <w:bottom w:val="single" w:color="auto" w:sz="4" w:space="0"/>
              <w:right w:val="single" w:color="auto" w:sz="4" w:space="0"/>
            </w:tcBorders>
            <w:vAlign w:val="center"/>
          </w:tcPr>
          <w:p w14:paraId="5D07F1F1">
            <w:pPr>
              <w:snapToGrid w:val="0"/>
              <w:spacing w:before="50" w:after="50" w:line="360" w:lineRule="exact"/>
              <w:jc w:val="center"/>
              <w:rPr>
                <w:rFonts w:hint="eastAsia" w:ascii="宋体" w:hAnsi="宋体" w:cs="宋体"/>
                <w:bCs/>
                <w:sz w:val="24"/>
              </w:rPr>
            </w:pPr>
          </w:p>
        </w:tc>
        <w:tc>
          <w:tcPr>
            <w:tcW w:w="1192" w:type="dxa"/>
            <w:tcBorders>
              <w:top w:val="single" w:color="auto" w:sz="4" w:space="0"/>
              <w:left w:val="single" w:color="auto" w:sz="4" w:space="0"/>
              <w:bottom w:val="single" w:color="auto" w:sz="4" w:space="0"/>
              <w:right w:val="single" w:color="auto" w:sz="4" w:space="0"/>
            </w:tcBorders>
            <w:vAlign w:val="center"/>
          </w:tcPr>
          <w:p w14:paraId="14D9A357">
            <w:pPr>
              <w:snapToGrid w:val="0"/>
              <w:spacing w:before="50" w:after="50" w:line="360" w:lineRule="exact"/>
              <w:jc w:val="center"/>
              <w:rPr>
                <w:rFonts w:hint="eastAsia" w:ascii="宋体" w:hAnsi="宋体" w:cs="宋体"/>
                <w:sz w:val="24"/>
              </w:rPr>
            </w:pPr>
          </w:p>
        </w:tc>
        <w:tc>
          <w:tcPr>
            <w:tcW w:w="1588" w:type="dxa"/>
            <w:tcBorders>
              <w:top w:val="single" w:color="auto" w:sz="4" w:space="0"/>
              <w:left w:val="single" w:color="auto" w:sz="4" w:space="0"/>
              <w:bottom w:val="single" w:color="auto" w:sz="4" w:space="0"/>
              <w:right w:val="single" w:color="auto" w:sz="4" w:space="0"/>
            </w:tcBorders>
            <w:vAlign w:val="center"/>
          </w:tcPr>
          <w:p w14:paraId="7C5BEC96">
            <w:pPr>
              <w:snapToGrid w:val="0"/>
              <w:spacing w:before="50" w:after="50" w:line="360" w:lineRule="exact"/>
              <w:jc w:val="center"/>
              <w:rPr>
                <w:rFonts w:hint="eastAsia" w:ascii="宋体" w:hAnsi="宋体" w:cs="宋体"/>
                <w:sz w:val="24"/>
              </w:rPr>
            </w:pPr>
          </w:p>
        </w:tc>
        <w:tc>
          <w:tcPr>
            <w:tcW w:w="991" w:type="dxa"/>
            <w:tcBorders>
              <w:top w:val="single" w:color="auto" w:sz="4" w:space="0"/>
              <w:left w:val="single" w:color="auto" w:sz="4" w:space="0"/>
              <w:bottom w:val="single" w:color="auto" w:sz="4" w:space="0"/>
              <w:right w:val="single" w:color="auto" w:sz="4" w:space="0"/>
            </w:tcBorders>
            <w:vAlign w:val="center"/>
          </w:tcPr>
          <w:p w14:paraId="6D90283B">
            <w:pPr>
              <w:snapToGrid w:val="0"/>
              <w:spacing w:before="50" w:after="50" w:line="360" w:lineRule="exact"/>
              <w:rPr>
                <w:rFonts w:hint="eastAsia" w:ascii="宋体" w:hAnsi="宋体" w:cs="宋体"/>
                <w:sz w:val="24"/>
              </w:rPr>
            </w:pPr>
          </w:p>
        </w:tc>
        <w:tc>
          <w:tcPr>
            <w:tcW w:w="836" w:type="dxa"/>
            <w:tcBorders>
              <w:top w:val="single" w:color="auto" w:sz="4" w:space="0"/>
              <w:left w:val="single" w:color="auto" w:sz="4" w:space="0"/>
              <w:bottom w:val="single" w:color="auto" w:sz="4" w:space="0"/>
              <w:right w:val="single" w:color="auto" w:sz="4" w:space="0"/>
            </w:tcBorders>
            <w:vAlign w:val="center"/>
          </w:tcPr>
          <w:p w14:paraId="4E645572">
            <w:pPr>
              <w:snapToGrid w:val="0"/>
              <w:spacing w:before="50" w:after="50" w:line="360" w:lineRule="exact"/>
              <w:rPr>
                <w:rFonts w:hint="eastAsia" w:ascii="宋体" w:hAnsi="宋体" w:cs="宋体"/>
                <w:sz w:val="24"/>
              </w:rPr>
            </w:pPr>
          </w:p>
        </w:tc>
        <w:tc>
          <w:tcPr>
            <w:tcW w:w="2121" w:type="dxa"/>
            <w:tcBorders>
              <w:top w:val="single" w:color="auto" w:sz="4" w:space="0"/>
              <w:left w:val="single" w:color="auto" w:sz="4" w:space="0"/>
              <w:bottom w:val="single" w:color="auto" w:sz="4" w:space="0"/>
              <w:right w:val="single" w:color="auto" w:sz="4" w:space="0"/>
            </w:tcBorders>
            <w:vAlign w:val="center"/>
          </w:tcPr>
          <w:p w14:paraId="7A2ED38C">
            <w:pPr>
              <w:snapToGrid w:val="0"/>
              <w:spacing w:before="50" w:after="50" w:line="360" w:lineRule="exact"/>
              <w:rPr>
                <w:rFonts w:hint="eastAsia" w:ascii="宋体" w:hAnsi="宋体" w:cs="宋体"/>
                <w:sz w:val="24"/>
              </w:rPr>
            </w:pPr>
          </w:p>
        </w:tc>
      </w:tr>
      <w:tr w14:paraId="4F45E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4" w:hRule="atLeast"/>
          <w:jc w:val="center"/>
        </w:trPr>
        <w:tc>
          <w:tcPr>
            <w:tcW w:w="3965" w:type="dxa"/>
            <w:gridSpan w:val="4"/>
            <w:tcBorders>
              <w:top w:val="single" w:color="auto" w:sz="4" w:space="0"/>
              <w:left w:val="single" w:color="auto" w:sz="4" w:space="0"/>
              <w:bottom w:val="single" w:color="auto" w:sz="4" w:space="0"/>
              <w:right w:val="single" w:color="auto" w:sz="4" w:space="0"/>
            </w:tcBorders>
            <w:vAlign w:val="center"/>
          </w:tcPr>
          <w:p w14:paraId="6DEF403F">
            <w:pPr>
              <w:snapToGrid w:val="0"/>
              <w:spacing w:before="50" w:after="50" w:line="360" w:lineRule="exact"/>
              <w:jc w:val="center"/>
              <w:rPr>
                <w:rFonts w:hint="eastAsia" w:ascii="宋体" w:hAnsi="宋体" w:cs="宋体"/>
                <w:bCs/>
                <w:sz w:val="24"/>
              </w:rPr>
            </w:pPr>
            <w:r>
              <w:rPr>
                <w:rFonts w:hint="eastAsia" w:ascii="宋体" w:hAnsi="宋体" w:cs="宋体"/>
                <w:spacing w:val="20"/>
                <w:sz w:val="24"/>
              </w:rPr>
              <w:t>专用耗材</w:t>
            </w:r>
          </w:p>
        </w:tc>
        <w:tc>
          <w:tcPr>
            <w:tcW w:w="4607" w:type="dxa"/>
            <w:gridSpan w:val="4"/>
            <w:tcBorders>
              <w:top w:val="single" w:color="auto" w:sz="4" w:space="0"/>
              <w:left w:val="single" w:color="auto" w:sz="4" w:space="0"/>
              <w:bottom w:val="single" w:color="auto" w:sz="4" w:space="0"/>
              <w:right w:val="single" w:color="auto" w:sz="4" w:space="0"/>
            </w:tcBorders>
            <w:vAlign w:val="center"/>
          </w:tcPr>
          <w:p w14:paraId="0E809D9C">
            <w:pPr>
              <w:snapToGrid w:val="0"/>
              <w:spacing w:before="50" w:after="50" w:line="360" w:lineRule="exact"/>
              <w:jc w:val="center"/>
              <w:rPr>
                <w:rFonts w:hint="eastAsia" w:ascii="宋体" w:hAnsi="宋体" w:cs="宋体"/>
                <w:spacing w:val="20"/>
                <w:sz w:val="24"/>
              </w:rPr>
            </w:pPr>
            <w:r>
              <w:rPr>
                <w:rFonts w:hint="eastAsia" w:ascii="宋体" w:hAnsi="宋体" w:cs="宋体"/>
                <w:spacing w:val="20"/>
                <w:sz w:val="24"/>
              </w:rPr>
              <w:t>已含在投标报价中</w:t>
            </w:r>
          </w:p>
        </w:tc>
        <w:tc>
          <w:tcPr>
            <w:tcW w:w="2121" w:type="dxa"/>
            <w:tcBorders>
              <w:top w:val="single" w:color="auto" w:sz="4" w:space="0"/>
              <w:left w:val="single" w:color="auto" w:sz="4" w:space="0"/>
              <w:bottom w:val="single" w:color="auto" w:sz="4" w:space="0"/>
              <w:right w:val="single" w:color="auto" w:sz="4" w:space="0"/>
            </w:tcBorders>
            <w:vAlign w:val="center"/>
          </w:tcPr>
          <w:p w14:paraId="772B32B9">
            <w:pPr>
              <w:snapToGrid w:val="0"/>
              <w:spacing w:before="50" w:after="50" w:line="360" w:lineRule="exact"/>
              <w:jc w:val="center"/>
              <w:rPr>
                <w:rFonts w:hint="eastAsia" w:ascii="宋体" w:hAnsi="宋体" w:cs="宋体"/>
                <w:spacing w:val="20"/>
                <w:sz w:val="24"/>
              </w:rPr>
            </w:pPr>
          </w:p>
        </w:tc>
      </w:tr>
      <w:tr w14:paraId="5CFC77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93" w:type="dxa"/>
            <w:gridSpan w:val="9"/>
            <w:tcBorders>
              <w:top w:val="single" w:color="auto" w:sz="4" w:space="0"/>
              <w:left w:val="single" w:color="auto" w:sz="4" w:space="0"/>
              <w:bottom w:val="single" w:color="auto" w:sz="4" w:space="0"/>
              <w:right w:val="single" w:color="auto" w:sz="4" w:space="0"/>
            </w:tcBorders>
            <w:vAlign w:val="center"/>
          </w:tcPr>
          <w:p w14:paraId="47C49E5F">
            <w:pPr>
              <w:snapToGrid w:val="0"/>
              <w:spacing w:before="50" w:after="50" w:line="360" w:lineRule="exact"/>
              <w:jc w:val="left"/>
              <w:rPr>
                <w:rFonts w:hint="eastAsia" w:ascii="宋体" w:hAnsi="宋体" w:cs="宋体"/>
                <w:spacing w:val="20"/>
                <w:sz w:val="24"/>
              </w:rPr>
            </w:pPr>
            <w:r>
              <w:rPr>
                <w:rFonts w:hint="eastAsia" w:ascii="宋体" w:hAnsi="宋体" w:cs="宋体"/>
                <w:spacing w:val="20"/>
                <w:sz w:val="24"/>
              </w:rPr>
              <w:t>投标总价大写：</w:t>
            </w:r>
            <w:r>
              <w:rPr>
                <w:rFonts w:hint="eastAsia" w:ascii="宋体" w:hAnsi="宋体" w:cs="宋体"/>
                <w:spacing w:val="20"/>
                <w:sz w:val="24"/>
                <w:u w:val="single"/>
              </w:rPr>
              <w:t xml:space="preserve">                     </w:t>
            </w:r>
            <w:r>
              <w:rPr>
                <w:rFonts w:hint="eastAsia" w:ascii="宋体" w:hAnsi="宋体" w:cs="宋体"/>
                <w:spacing w:val="20"/>
                <w:sz w:val="24"/>
              </w:rPr>
              <w:t xml:space="preserve">  ¥</w:t>
            </w:r>
            <w:r>
              <w:rPr>
                <w:rFonts w:hint="eastAsia" w:ascii="宋体" w:hAnsi="宋体" w:cs="宋体"/>
                <w:spacing w:val="20"/>
                <w:sz w:val="24"/>
                <w:u w:val="single"/>
              </w:rPr>
              <w:t xml:space="preserve">       </w:t>
            </w:r>
          </w:p>
        </w:tc>
      </w:tr>
      <w:tr w14:paraId="4925B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10693" w:type="dxa"/>
            <w:gridSpan w:val="9"/>
            <w:tcBorders>
              <w:top w:val="single" w:color="auto" w:sz="4" w:space="0"/>
              <w:left w:val="single" w:color="auto" w:sz="4" w:space="0"/>
              <w:bottom w:val="single" w:color="auto" w:sz="4" w:space="0"/>
              <w:right w:val="single" w:color="auto" w:sz="4" w:space="0"/>
            </w:tcBorders>
            <w:vAlign w:val="center"/>
          </w:tcPr>
          <w:p w14:paraId="5C8082C6">
            <w:pPr>
              <w:snapToGrid w:val="0"/>
              <w:spacing w:before="50" w:after="50" w:line="360" w:lineRule="exact"/>
              <w:jc w:val="left"/>
              <w:rPr>
                <w:rFonts w:hint="eastAsia" w:ascii="宋体" w:hAnsi="宋体" w:cs="宋体"/>
                <w:spacing w:val="20"/>
                <w:sz w:val="24"/>
              </w:rPr>
            </w:pPr>
            <w:r>
              <w:rPr>
                <w:rFonts w:hint="eastAsia" w:ascii="宋体" w:hAnsi="宋体" w:cs="宋体"/>
                <w:spacing w:val="20"/>
                <w:sz w:val="24"/>
              </w:rPr>
              <w:t>交货期：</w:t>
            </w:r>
          </w:p>
        </w:tc>
      </w:tr>
    </w:tbl>
    <w:p w14:paraId="480F9C2E">
      <w:pPr>
        <w:snapToGrid w:val="0"/>
        <w:spacing w:before="50" w:after="120" w:afterLines="50" w:line="400" w:lineRule="exact"/>
        <w:ind w:firstLine="103" w:firstLineChars="49"/>
        <w:jc w:val="right"/>
        <w:rPr>
          <w:rFonts w:hint="eastAsia" w:ascii="宋体" w:hAnsi="宋体" w:cs="宋体"/>
          <w:b/>
          <w:szCs w:val="21"/>
        </w:rPr>
      </w:pPr>
    </w:p>
    <w:p w14:paraId="19E75B31">
      <w:pPr>
        <w:snapToGrid w:val="0"/>
        <w:spacing w:before="50" w:after="50" w:line="400" w:lineRule="exact"/>
        <w:ind w:firstLine="480" w:firstLineChars="200"/>
        <w:jc w:val="left"/>
        <w:rPr>
          <w:rFonts w:hint="eastAsia" w:ascii="宋体" w:hAnsi="宋体" w:cs="宋体"/>
          <w:sz w:val="24"/>
        </w:rPr>
      </w:pPr>
      <w:r>
        <w:rPr>
          <w:rFonts w:hint="eastAsia" w:ascii="宋体" w:hAnsi="宋体" w:cs="宋体"/>
          <w:sz w:val="24"/>
        </w:rPr>
        <w:t>注：</w:t>
      </w:r>
      <w:r>
        <w:rPr>
          <w:rFonts w:hint="eastAsia" w:ascii="宋体" w:hAnsi="宋体" w:cs="宋体"/>
          <w:b/>
          <w:bCs/>
          <w:sz w:val="24"/>
        </w:rPr>
        <w:t>1.此项材料必须以PDF格式上传；</w:t>
      </w:r>
    </w:p>
    <w:p w14:paraId="5BA22F68">
      <w:pPr>
        <w:snapToGrid w:val="0"/>
        <w:spacing w:before="50" w:after="50" w:line="400" w:lineRule="exact"/>
        <w:ind w:right="-470" w:rightChars="-224" w:firstLine="480" w:firstLineChars="200"/>
        <w:jc w:val="left"/>
        <w:rPr>
          <w:rFonts w:hint="eastAsia" w:ascii="宋体" w:hAnsi="宋体" w:cs="宋体"/>
          <w:sz w:val="24"/>
        </w:rPr>
      </w:pPr>
      <w:r>
        <w:rPr>
          <w:rFonts w:hint="eastAsia" w:ascii="宋体" w:hAnsi="宋体" w:cs="宋体"/>
          <w:sz w:val="24"/>
        </w:rPr>
        <w:t>2.报价一经涂改，应在涂改处加盖投标人CA电子签章或者由法定代表人或授权委托代理人签字或盖章，否则其投标作无效标处理。</w:t>
      </w:r>
    </w:p>
    <w:p w14:paraId="780182FE">
      <w:pPr>
        <w:snapToGrid w:val="0"/>
        <w:spacing w:before="50" w:after="50" w:line="400" w:lineRule="exact"/>
        <w:ind w:right="-470" w:rightChars="-224" w:firstLine="480" w:firstLineChars="200"/>
        <w:jc w:val="left"/>
        <w:rPr>
          <w:rFonts w:hint="eastAsia" w:ascii="宋体" w:hAnsi="宋体" w:cs="宋体"/>
          <w:sz w:val="24"/>
        </w:rPr>
      </w:pPr>
      <w:r>
        <w:rPr>
          <w:rFonts w:hint="eastAsia" w:ascii="宋体" w:hAnsi="宋体" w:cs="宋体"/>
          <w:sz w:val="24"/>
        </w:rPr>
        <w:t>3.凡需用专用耗材的专用设备类采购项目，应按招标文件规定的耗材量或按耗材的常规试用量提供报价；</w:t>
      </w:r>
    </w:p>
    <w:p w14:paraId="6D0B3EC9">
      <w:pPr>
        <w:snapToGrid w:val="0"/>
        <w:spacing w:before="50" w:after="50" w:line="400" w:lineRule="exact"/>
        <w:ind w:right="-470" w:rightChars="-224" w:firstLine="480" w:firstLineChars="200"/>
        <w:jc w:val="left"/>
        <w:rPr>
          <w:rFonts w:hint="eastAsia" w:ascii="宋体" w:hAnsi="宋体" w:cs="宋体"/>
          <w:sz w:val="24"/>
        </w:rPr>
      </w:pPr>
      <w:r>
        <w:rPr>
          <w:rFonts w:hint="eastAsia" w:ascii="宋体" w:hAnsi="宋体" w:cs="宋体"/>
          <w:sz w:val="24"/>
        </w:rPr>
        <w:t>4.投标报价包括</w:t>
      </w:r>
      <w:r>
        <w:rPr>
          <w:rFonts w:hint="eastAsia" w:ascii="宋体" w:hAnsi="宋体" w:cs="宋体"/>
          <w:bCs/>
          <w:sz w:val="24"/>
        </w:rPr>
        <w:t>货物及货物运抵指定交付地点的所有成本、各种费用的总和</w:t>
      </w:r>
      <w:r>
        <w:rPr>
          <w:rFonts w:hint="eastAsia" w:ascii="宋体" w:hAnsi="宋体" w:cs="宋体"/>
          <w:sz w:val="24"/>
        </w:rPr>
        <w:t>；</w:t>
      </w:r>
    </w:p>
    <w:p w14:paraId="6374903D">
      <w:pPr>
        <w:snapToGrid w:val="0"/>
        <w:spacing w:before="50" w:after="50" w:line="400" w:lineRule="exact"/>
        <w:ind w:right="-470" w:rightChars="-224" w:firstLine="480" w:firstLineChars="200"/>
        <w:jc w:val="left"/>
        <w:rPr>
          <w:rFonts w:hint="eastAsia" w:ascii="宋体" w:hAnsi="宋体" w:cs="宋体"/>
          <w:b/>
          <w:szCs w:val="21"/>
        </w:rPr>
      </w:pPr>
      <w:r>
        <w:rPr>
          <w:rFonts w:hint="eastAsia" w:ascii="宋体" w:hAnsi="宋体" w:cs="宋体"/>
          <w:sz w:val="24"/>
        </w:rPr>
        <w:t>5.投标报价明细表单价汇总须与投标总价一致，投标总价须与开标一览表投标总报价一致。</w:t>
      </w:r>
    </w:p>
    <w:p w14:paraId="09CE71AB">
      <w:pPr>
        <w:spacing w:line="400" w:lineRule="exact"/>
        <w:rPr>
          <w:rFonts w:hint="eastAsia" w:ascii="宋体" w:hAnsi="宋体" w:cs="宋体"/>
          <w:szCs w:val="21"/>
        </w:rPr>
      </w:pPr>
    </w:p>
    <w:p w14:paraId="4FEB6A1D">
      <w:pPr>
        <w:snapToGrid w:val="0"/>
        <w:spacing w:before="50" w:after="50" w:line="400" w:lineRule="exact"/>
        <w:ind w:left="-2" w:leftChars="-1" w:right="-817" w:rightChars="-389" w:firstLine="420" w:firstLineChars="200"/>
        <w:jc w:val="left"/>
        <w:rPr>
          <w:rFonts w:hint="eastAsia" w:ascii="宋体" w:hAnsi="宋体" w:cs="宋体"/>
          <w:szCs w:val="21"/>
        </w:rPr>
      </w:pPr>
      <w:r>
        <w:rPr>
          <w:rFonts w:hint="eastAsia" w:ascii="宋体" w:hAnsi="宋体" w:cs="宋体"/>
          <w:szCs w:val="21"/>
        </w:rPr>
        <w:t xml:space="preserve">                                    法定代表人或委托代理人</w:t>
      </w:r>
      <w:r>
        <w:rPr>
          <w:rFonts w:hint="eastAsia" w:ascii="宋体" w:hAnsi="宋体" w:cs="宋体"/>
          <w:b/>
          <w:bCs/>
          <w:szCs w:val="21"/>
        </w:rPr>
        <w:t>（签字）：</w:t>
      </w:r>
      <w:r>
        <w:rPr>
          <w:rFonts w:hint="eastAsia" w:ascii="宋体" w:hAnsi="宋体" w:cs="宋体"/>
          <w:szCs w:val="21"/>
          <w:u w:val="single"/>
        </w:rPr>
        <w:t xml:space="preserve">                </w:t>
      </w:r>
    </w:p>
    <w:p w14:paraId="1552AED5">
      <w:pPr>
        <w:spacing w:line="400" w:lineRule="exact"/>
        <w:ind w:firstLine="4830" w:firstLineChars="2300"/>
        <w:rPr>
          <w:rFonts w:hint="eastAsia" w:ascii="宋体" w:hAnsi="宋体" w:cs="宋体"/>
          <w:szCs w:val="21"/>
        </w:rPr>
      </w:pPr>
      <w:r>
        <w:rPr>
          <w:rFonts w:hint="eastAsia" w:ascii="宋体" w:hAnsi="宋体" w:cs="宋体"/>
          <w:szCs w:val="21"/>
        </w:rPr>
        <w:t>投标人</w:t>
      </w:r>
      <w:r>
        <w:rPr>
          <w:rFonts w:hint="eastAsia" w:ascii="宋体" w:hAnsi="宋体" w:cs="宋体"/>
          <w:b/>
          <w:bCs/>
          <w:szCs w:val="21"/>
        </w:rPr>
        <w:t>（CA电子签章）</w:t>
      </w:r>
      <w:r>
        <w:rPr>
          <w:rFonts w:hint="eastAsia" w:ascii="宋体" w:hAnsi="宋体" w:cs="宋体"/>
          <w:szCs w:val="21"/>
        </w:rPr>
        <w:t>：</w:t>
      </w:r>
      <w:r>
        <w:rPr>
          <w:rFonts w:hint="eastAsia" w:ascii="宋体" w:hAnsi="宋体" w:cs="宋体"/>
          <w:szCs w:val="21"/>
          <w:u w:val="single"/>
        </w:rPr>
        <w:t xml:space="preserve">                               </w:t>
      </w:r>
    </w:p>
    <w:p w14:paraId="2009E21F">
      <w:pPr>
        <w:snapToGrid w:val="0"/>
        <w:spacing w:before="50" w:after="50" w:line="400" w:lineRule="exact"/>
        <w:ind w:left="-2" w:leftChars="-1" w:right="-817" w:rightChars="-389" w:firstLine="420" w:firstLineChars="200"/>
        <w:jc w:val="right"/>
        <w:rPr>
          <w:rFonts w:hint="eastAsia" w:ascii="宋体" w:hAnsi="宋体" w:cs="宋体"/>
          <w:szCs w:val="21"/>
        </w:rPr>
      </w:pPr>
    </w:p>
    <w:p w14:paraId="7EB3904F">
      <w:pPr>
        <w:ind w:firstLine="420" w:firstLineChars="200"/>
        <w:jc w:val="left"/>
        <w:rPr>
          <w:rFonts w:hint="eastAsia" w:ascii="宋体" w:hAnsi="宋体" w:cs="宋体"/>
          <w:sz w:val="24"/>
        </w:rPr>
        <w:sectPr>
          <w:pgSz w:w="11906" w:h="16838"/>
          <w:pgMar w:top="1440" w:right="1247" w:bottom="1440" w:left="1361" w:header="851" w:footer="992" w:gutter="0"/>
          <w:cols w:space="720" w:num="1"/>
          <w:docGrid w:linePitch="312" w:charSpace="0"/>
        </w:sectPr>
      </w:pPr>
      <w:r>
        <w:rPr>
          <w:rFonts w:hint="eastAsia" w:ascii="宋体" w:hAnsi="宋体" w:cs="宋体"/>
        </w:rPr>
        <w:t xml:space="preserve">                                                       </w:t>
      </w:r>
      <w:r>
        <w:rPr>
          <w:rFonts w:hint="eastAsia" w:ascii="宋体" w:hAnsi="宋体" w:cs="宋体"/>
          <w:sz w:val="24"/>
        </w:rPr>
        <w:t>日期：       年   月   日</w:t>
      </w:r>
    </w:p>
    <w:p w14:paraId="14C69279">
      <w:pPr>
        <w:snapToGrid w:val="0"/>
        <w:spacing w:before="50" w:after="50" w:line="400" w:lineRule="exact"/>
        <w:jc w:val="center"/>
        <w:rPr>
          <w:rFonts w:hint="eastAsia" w:ascii="宋体" w:hAnsi="宋体" w:cs="宋体"/>
          <w:b/>
          <w:bCs/>
          <w:sz w:val="32"/>
          <w:szCs w:val="32"/>
        </w:rPr>
      </w:pPr>
      <w:r>
        <w:rPr>
          <w:rFonts w:hint="eastAsia" w:ascii="宋体" w:hAnsi="宋体" w:cs="宋体"/>
          <w:b/>
          <w:sz w:val="32"/>
          <w:szCs w:val="32"/>
        </w:rPr>
        <w:t>投标报价明细表</w:t>
      </w:r>
      <w:r>
        <w:rPr>
          <w:rFonts w:hint="eastAsia" w:ascii="宋体" w:hAnsi="宋体" w:cs="宋体"/>
          <w:b/>
          <w:bCs/>
          <w:sz w:val="32"/>
          <w:szCs w:val="32"/>
        </w:rPr>
        <w:t>（4分标格式）</w:t>
      </w:r>
    </w:p>
    <w:p w14:paraId="20EDEFC5">
      <w:pPr>
        <w:snapToGrid w:val="0"/>
        <w:spacing w:before="50" w:after="50" w:line="400" w:lineRule="exact"/>
        <w:jc w:val="center"/>
        <w:rPr>
          <w:rFonts w:hint="eastAsia" w:ascii="宋体" w:hAnsi="宋体" w:cs="宋体"/>
          <w:b/>
          <w:sz w:val="30"/>
        </w:rPr>
      </w:pPr>
    </w:p>
    <w:p w14:paraId="63141ACD">
      <w:pPr>
        <w:snapToGrid w:val="0"/>
        <w:spacing w:before="50" w:after="120" w:afterLines="50" w:line="400" w:lineRule="exact"/>
        <w:jc w:val="left"/>
        <w:rPr>
          <w:rFonts w:hint="eastAsia" w:ascii="宋体" w:hAnsi="宋体" w:cs="宋体"/>
          <w:sz w:val="24"/>
        </w:rPr>
      </w:pPr>
      <w:r>
        <w:rPr>
          <w:rFonts w:hint="eastAsia" w:ascii="宋体" w:hAnsi="宋体" w:cs="宋体"/>
          <w:sz w:val="24"/>
        </w:rPr>
        <w:t>项目名称：</w:t>
      </w:r>
    </w:p>
    <w:p w14:paraId="15551A32">
      <w:pPr>
        <w:snapToGrid w:val="0"/>
        <w:spacing w:before="50" w:after="120" w:afterLines="50" w:line="400" w:lineRule="exact"/>
        <w:jc w:val="left"/>
        <w:rPr>
          <w:rFonts w:hint="eastAsia" w:ascii="宋体" w:hAnsi="宋体" w:cs="宋体"/>
          <w:sz w:val="24"/>
        </w:rPr>
      </w:pPr>
      <w:r>
        <w:rPr>
          <w:rFonts w:hint="eastAsia" w:ascii="宋体" w:hAnsi="宋体" w:cs="宋体"/>
          <w:sz w:val="24"/>
        </w:rPr>
        <w:t>项目编号：</w:t>
      </w:r>
    </w:p>
    <w:p w14:paraId="7CDA9CF8">
      <w:pPr>
        <w:snapToGrid w:val="0"/>
        <w:spacing w:before="50" w:after="120" w:afterLines="50" w:line="400" w:lineRule="exact"/>
        <w:jc w:val="left"/>
        <w:rPr>
          <w:rFonts w:hint="eastAsia" w:ascii="宋体" w:hAnsi="宋体" w:cs="宋体"/>
          <w:b/>
          <w:sz w:val="24"/>
        </w:rPr>
      </w:pPr>
      <w:r>
        <w:rPr>
          <w:rFonts w:hint="eastAsia" w:ascii="宋体" w:hAnsi="宋体" w:cs="宋体"/>
          <w:sz w:val="24"/>
        </w:rPr>
        <w:t xml:space="preserve">所投分标：                        </w:t>
      </w:r>
    </w:p>
    <w:p w14:paraId="69C4C7C2">
      <w:pPr>
        <w:snapToGrid w:val="0"/>
        <w:spacing w:before="50" w:after="120" w:afterLines="50" w:line="400" w:lineRule="exact"/>
        <w:ind w:firstLine="117" w:firstLineChars="49"/>
        <w:jc w:val="right"/>
        <w:rPr>
          <w:rFonts w:hint="eastAsia" w:ascii="宋体" w:hAnsi="宋体" w:cs="宋体"/>
          <w:b/>
          <w:sz w:val="24"/>
        </w:rPr>
      </w:pPr>
      <w:r>
        <w:rPr>
          <w:rFonts w:hint="eastAsia" w:ascii="宋体" w:hAnsi="宋体" w:cs="宋体"/>
          <w:sz w:val="24"/>
        </w:rPr>
        <w:t xml:space="preserve">                                                金额单位：人民币（元）</w:t>
      </w:r>
    </w:p>
    <w:tbl>
      <w:tblPr>
        <w:tblStyle w:val="17"/>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418"/>
        <w:gridCol w:w="1417"/>
        <w:gridCol w:w="3032"/>
        <w:gridCol w:w="1486"/>
        <w:gridCol w:w="2074"/>
      </w:tblGrid>
      <w:tr w14:paraId="18803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D304C72">
            <w:pPr>
              <w:snapToGrid w:val="0"/>
              <w:spacing w:before="50" w:after="50" w:line="360" w:lineRule="exact"/>
              <w:rPr>
                <w:rFonts w:hint="eastAsia" w:ascii="宋体" w:hAnsi="宋体" w:cs="宋体"/>
                <w:szCs w:val="21"/>
              </w:rPr>
            </w:pPr>
            <w:r>
              <w:rPr>
                <w:rFonts w:hint="eastAsia" w:ascii="宋体" w:hAnsi="宋体" w:cs="宋体"/>
                <w:sz w:val="24"/>
              </w:rPr>
              <w:t>序号</w:t>
            </w:r>
          </w:p>
        </w:tc>
        <w:tc>
          <w:tcPr>
            <w:tcW w:w="1418" w:type="dxa"/>
            <w:tcBorders>
              <w:top w:val="single" w:color="auto" w:sz="4" w:space="0"/>
              <w:left w:val="single" w:color="auto" w:sz="4" w:space="0"/>
              <w:bottom w:val="single" w:color="auto" w:sz="4" w:space="0"/>
              <w:right w:val="single" w:color="auto" w:sz="4" w:space="0"/>
            </w:tcBorders>
            <w:vAlign w:val="center"/>
          </w:tcPr>
          <w:p w14:paraId="00F18BA2">
            <w:pPr>
              <w:snapToGrid w:val="0"/>
              <w:spacing w:before="50" w:after="50" w:line="360" w:lineRule="exact"/>
              <w:jc w:val="center"/>
              <w:rPr>
                <w:rFonts w:hint="eastAsia" w:ascii="宋体" w:hAnsi="宋体" w:cs="宋体"/>
                <w:szCs w:val="21"/>
              </w:rPr>
            </w:pPr>
            <w:r>
              <w:rPr>
                <w:rFonts w:hint="eastAsia" w:ascii="宋体" w:hAnsi="宋体" w:cs="宋体"/>
                <w:sz w:val="24"/>
              </w:rPr>
              <w:t>产品名称</w:t>
            </w:r>
          </w:p>
        </w:tc>
        <w:tc>
          <w:tcPr>
            <w:tcW w:w="1417" w:type="dxa"/>
            <w:tcBorders>
              <w:top w:val="single" w:color="auto" w:sz="4" w:space="0"/>
              <w:left w:val="single" w:color="auto" w:sz="4" w:space="0"/>
              <w:bottom w:val="single" w:color="auto" w:sz="4" w:space="0"/>
              <w:right w:val="single" w:color="auto" w:sz="4" w:space="0"/>
            </w:tcBorders>
            <w:vAlign w:val="center"/>
          </w:tcPr>
          <w:p w14:paraId="4D866DA3">
            <w:pPr>
              <w:snapToGrid w:val="0"/>
              <w:spacing w:before="50" w:after="50" w:line="360" w:lineRule="exact"/>
              <w:jc w:val="center"/>
              <w:rPr>
                <w:rFonts w:hint="eastAsia" w:ascii="宋体" w:hAnsi="宋体" w:cs="宋体"/>
                <w:szCs w:val="21"/>
              </w:rPr>
            </w:pPr>
            <w:r>
              <w:rPr>
                <w:rFonts w:hint="eastAsia" w:ascii="宋体" w:hAnsi="宋体" w:cs="宋体"/>
                <w:sz w:val="24"/>
              </w:rPr>
              <w:t>服务商</w:t>
            </w:r>
          </w:p>
        </w:tc>
        <w:tc>
          <w:tcPr>
            <w:tcW w:w="3032" w:type="dxa"/>
            <w:tcBorders>
              <w:top w:val="single" w:color="auto" w:sz="4" w:space="0"/>
              <w:left w:val="single" w:color="auto" w:sz="4" w:space="0"/>
              <w:bottom w:val="single" w:color="auto" w:sz="4" w:space="0"/>
              <w:right w:val="single" w:color="auto" w:sz="4" w:space="0"/>
            </w:tcBorders>
            <w:vAlign w:val="center"/>
          </w:tcPr>
          <w:p w14:paraId="3928F15D">
            <w:pPr>
              <w:snapToGrid w:val="0"/>
              <w:spacing w:before="50" w:after="50" w:line="360" w:lineRule="exact"/>
              <w:jc w:val="center"/>
              <w:rPr>
                <w:rFonts w:hint="eastAsia" w:ascii="宋体" w:hAnsi="宋体" w:cs="宋体"/>
                <w:szCs w:val="21"/>
              </w:rPr>
            </w:pPr>
            <w:r>
              <w:rPr>
                <w:rFonts w:hint="eastAsia" w:ascii="宋体" w:hAnsi="宋体" w:cs="宋体"/>
                <w:sz w:val="24"/>
              </w:rPr>
              <w:t>数量及单位</w:t>
            </w:r>
          </w:p>
        </w:tc>
        <w:tc>
          <w:tcPr>
            <w:tcW w:w="1486" w:type="dxa"/>
            <w:tcBorders>
              <w:top w:val="single" w:color="auto" w:sz="4" w:space="0"/>
              <w:left w:val="single" w:color="auto" w:sz="4" w:space="0"/>
              <w:bottom w:val="single" w:color="auto" w:sz="4" w:space="0"/>
              <w:right w:val="single" w:color="auto" w:sz="4" w:space="0"/>
            </w:tcBorders>
            <w:vAlign w:val="center"/>
          </w:tcPr>
          <w:p w14:paraId="72C05858">
            <w:pPr>
              <w:snapToGrid w:val="0"/>
              <w:spacing w:before="50" w:after="50" w:line="360" w:lineRule="exact"/>
              <w:jc w:val="center"/>
              <w:rPr>
                <w:rFonts w:hint="eastAsia" w:ascii="宋体" w:hAnsi="宋体" w:cs="宋体"/>
                <w:szCs w:val="21"/>
              </w:rPr>
            </w:pPr>
            <w:r>
              <w:rPr>
                <w:rFonts w:hint="eastAsia" w:ascii="宋体" w:hAnsi="宋体" w:cs="宋体"/>
                <w:sz w:val="24"/>
              </w:rPr>
              <w:t>单价</w:t>
            </w:r>
          </w:p>
        </w:tc>
        <w:tc>
          <w:tcPr>
            <w:tcW w:w="2074" w:type="dxa"/>
            <w:tcBorders>
              <w:top w:val="single" w:color="auto" w:sz="4" w:space="0"/>
              <w:left w:val="single" w:color="auto" w:sz="4" w:space="0"/>
              <w:bottom w:val="single" w:color="auto" w:sz="4" w:space="0"/>
              <w:right w:val="single" w:color="auto" w:sz="4" w:space="0"/>
            </w:tcBorders>
            <w:vAlign w:val="center"/>
          </w:tcPr>
          <w:p w14:paraId="580A26D2">
            <w:pPr>
              <w:snapToGrid w:val="0"/>
              <w:spacing w:before="50" w:after="50" w:line="360" w:lineRule="exact"/>
              <w:jc w:val="center"/>
              <w:rPr>
                <w:rFonts w:hint="eastAsia" w:ascii="宋体" w:hAnsi="宋体" w:cs="宋体"/>
                <w:szCs w:val="21"/>
              </w:rPr>
            </w:pPr>
            <w:r>
              <w:rPr>
                <w:rFonts w:hint="eastAsia" w:ascii="宋体" w:hAnsi="宋体" w:cs="宋体"/>
                <w:sz w:val="24"/>
              </w:rPr>
              <w:t>投标报价</w:t>
            </w:r>
          </w:p>
        </w:tc>
      </w:tr>
      <w:tr w14:paraId="3E26AC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095A0143">
            <w:pPr>
              <w:snapToGrid w:val="0"/>
              <w:spacing w:before="50" w:after="50" w:line="360" w:lineRule="exact"/>
              <w:jc w:val="center"/>
              <w:rPr>
                <w:rFonts w:hint="eastAsia" w:ascii="宋体" w:hAnsi="宋体" w:cs="宋体"/>
                <w:szCs w:val="21"/>
              </w:rPr>
            </w:pPr>
            <w:r>
              <w:rPr>
                <w:rFonts w:hint="eastAsia" w:ascii="宋体" w:hAnsi="宋体" w:cs="宋体"/>
                <w:sz w:val="24"/>
              </w:rPr>
              <w:t>1</w:t>
            </w:r>
          </w:p>
        </w:tc>
        <w:tc>
          <w:tcPr>
            <w:tcW w:w="1418" w:type="dxa"/>
            <w:tcBorders>
              <w:top w:val="single" w:color="auto" w:sz="4" w:space="0"/>
              <w:left w:val="single" w:color="auto" w:sz="4" w:space="0"/>
              <w:bottom w:val="single" w:color="auto" w:sz="4" w:space="0"/>
              <w:right w:val="single" w:color="auto" w:sz="4" w:space="0"/>
            </w:tcBorders>
            <w:vAlign w:val="center"/>
          </w:tcPr>
          <w:p w14:paraId="5CEF2AB3">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E45FA2E">
            <w:pPr>
              <w:snapToGrid w:val="0"/>
              <w:spacing w:before="50" w:after="50" w:line="360" w:lineRule="exact"/>
              <w:jc w:val="left"/>
              <w:rPr>
                <w:rFonts w:hint="eastAsia" w:ascii="宋体" w:hAnsi="宋体" w:cs="宋体"/>
                <w:bCs/>
                <w:szCs w:val="21"/>
              </w:rPr>
            </w:pPr>
          </w:p>
        </w:tc>
        <w:tc>
          <w:tcPr>
            <w:tcW w:w="3032" w:type="dxa"/>
            <w:tcBorders>
              <w:top w:val="single" w:color="auto" w:sz="4" w:space="0"/>
              <w:left w:val="single" w:color="auto" w:sz="4" w:space="0"/>
              <w:bottom w:val="single" w:color="auto" w:sz="4" w:space="0"/>
              <w:right w:val="single" w:color="auto" w:sz="4" w:space="0"/>
            </w:tcBorders>
            <w:vAlign w:val="center"/>
          </w:tcPr>
          <w:p w14:paraId="3D9B98CB">
            <w:pPr>
              <w:snapToGrid w:val="0"/>
              <w:spacing w:before="50" w:after="50" w:line="360" w:lineRule="exact"/>
              <w:rPr>
                <w:rFonts w:hint="eastAsia" w:ascii="宋体" w:hAnsi="宋体" w:cs="宋体"/>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154174AC">
            <w:pPr>
              <w:snapToGrid w:val="0"/>
              <w:spacing w:before="50" w:after="50" w:line="360" w:lineRule="exact"/>
              <w:rPr>
                <w:rFonts w:hint="eastAsia" w:ascii="宋体" w:hAnsi="宋体" w:cs="宋体"/>
                <w:szCs w:val="21"/>
              </w:rPr>
            </w:pPr>
          </w:p>
        </w:tc>
        <w:tc>
          <w:tcPr>
            <w:tcW w:w="2074" w:type="dxa"/>
            <w:tcBorders>
              <w:top w:val="single" w:color="auto" w:sz="4" w:space="0"/>
              <w:left w:val="single" w:color="auto" w:sz="4" w:space="0"/>
              <w:bottom w:val="single" w:color="auto" w:sz="4" w:space="0"/>
              <w:right w:val="single" w:color="auto" w:sz="4" w:space="0"/>
            </w:tcBorders>
            <w:vAlign w:val="center"/>
          </w:tcPr>
          <w:p w14:paraId="0B25A48F">
            <w:pPr>
              <w:snapToGrid w:val="0"/>
              <w:spacing w:before="50" w:after="50" w:line="360" w:lineRule="exact"/>
              <w:rPr>
                <w:rFonts w:hint="eastAsia" w:ascii="宋体" w:hAnsi="宋体" w:cs="宋体"/>
                <w:szCs w:val="21"/>
              </w:rPr>
            </w:pPr>
          </w:p>
        </w:tc>
      </w:tr>
      <w:tr w14:paraId="1EFC7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BA9766">
            <w:pPr>
              <w:snapToGrid w:val="0"/>
              <w:spacing w:before="50" w:after="50" w:line="360" w:lineRule="exact"/>
              <w:jc w:val="center"/>
              <w:rPr>
                <w:rFonts w:hint="eastAsia" w:ascii="宋体" w:hAnsi="宋体" w:cs="宋体"/>
                <w:szCs w:val="21"/>
              </w:rPr>
            </w:pPr>
            <w:r>
              <w:rPr>
                <w:rFonts w:hint="eastAsia" w:ascii="宋体" w:hAnsi="宋体" w:cs="宋体"/>
                <w:szCs w:val="21"/>
              </w:rPr>
              <w:t>...</w:t>
            </w:r>
          </w:p>
        </w:tc>
        <w:tc>
          <w:tcPr>
            <w:tcW w:w="1418" w:type="dxa"/>
            <w:tcBorders>
              <w:top w:val="single" w:color="auto" w:sz="4" w:space="0"/>
              <w:left w:val="single" w:color="auto" w:sz="4" w:space="0"/>
              <w:bottom w:val="single" w:color="auto" w:sz="4" w:space="0"/>
              <w:right w:val="single" w:color="auto" w:sz="4" w:space="0"/>
            </w:tcBorders>
            <w:vAlign w:val="center"/>
          </w:tcPr>
          <w:p w14:paraId="4D4F133F">
            <w:pPr>
              <w:snapToGrid w:val="0"/>
              <w:spacing w:before="50" w:after="50" w:line="360" w:lineRule="exact"/>
              <w:jc w:val="left"/>
              <w:rPr>
                <w:rFonts w:hint="eastAsia" w:ascii="宋体" w:hAnsi="宋体" w:cs="宋体"/>
                <w:bCs/>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DA24701">
            <w:pPr>
              <w:snapToGrid w:val="0"/>
              <w:spacing w:before="50" w:after="50" w:line="360" w:lineRule="exact"/>
              <w:jc w:val="left"/>
              <w:rPr>
                <w:rFonts w:hint="eastAsia" w:ascii="宋体" w:hAnsi="宋体" w:cs="宋体"/>
                <w:bCs/>
                <w:szCs w:val="21"/>
              </w:rPr>
            </w:pPr>
          </w:p>
        </w:tc>
        <w:tc>
          <w:tcPr>
            <w:tcW w:w="3032" w:type="dxa"/>
            <w:tcBorders>
              <w:top w:val="single" w:color="auto" w:sz="4" w:space="0"/>
              <w:left w:val="single" w:color="auto" w:sz="4" w:space="0"/>
              <w:bottom w:val="single" w:color="auto" w:sz="4" w:space="0"/>
              <w:right w:val="single" w:color="auto" w:sz="4" w:space="0"/>
            </w:tcBorders>
            <w:vAlign w:val="center"/>
          </w:tcPr>
          <w:p w14:paraId="058AD984">
            <w:pPr>
              <w:snapToGrid w:val="0"/>
              <w:spacing w:before="50" w:after="50" w:line="360" w:lineRule="exact"/>
              <w:rPr>
                <w:rFonts w:hint="eastAsia" w:ascii="宋体" w:hAnsi="宋体" w:cs="宋体"/>
                <w:szCs w:val="21"/>
              </w:rPr>
            </w:pPr>
          </w:p>
        </w:tc>
        <w:tc>
          <w:tcPr>
            <w:tcW w:w="1486" w:type="dxa"/>
            <w:tcBorders>
              <w:top w:val="single" w:color="auto" w:sz="4" w:space="0"/>
              <w:left w:val="single" w:color="auto" w:sz="4" w:space="0"/>
              <w:bottom w:val="single" w:color="auto" w:sz="4" w:space="0"/>
              <w:right w:val="single" w:color="auto" w:sz="4" w:space="0"/>
            </w:tcBorders>
            <w:vAlign w:val="center"/>
          </w:tcPr>
          <w:p w14:paraId="3AC76303">
            <w:pPr>
              <w:snapToGrid w:val="0"/>
              <w:spacing w:before="50" w:after="50" w:line="360" w:lineRule="exact"/>
              <w:rPr>
                <w:rFonts w:hint="eastAsia" w:ascii="宋体" w:hAnsi="宋体" w:cs="宋体"/>
                <w:szCs w:val="21"/>
              </w:rPr>
            </w:pPr>
          </w:p>
        </w:tc>
        <w:tc>
          <w:tcPr>
            <w:tcW w:w="2074" w:type="dxa"/>
            <w:tcBorders>
              <w:top w:val="single" w:color="auto" w:sz="4" w:space="0"/>
              <w:left w:val="single" w:color="auto" w:sz="4" w:space="0"/>
              <w:bottom w:val="single" w:color="auto" w:sz="4" w:space="0"/>
              <w:right w:val="single" w:color="auto" w:sz="4" w:space="0"/>
            </w:tcBorders>
            <w:vAlign w:val="center"/>
          </w:tcPr>
          <w:p w14:paraId="0E2E3D90">
            <w:pPr>
              <w:snapToGrid w:val="0"/>
              <w:spacing w:before="50" w:after="50" w:line="360" w:lineRule="exact"/>
              <w:rPr>
                <w:rFonts w:hint="eastAsia" w:ascii="宋体" w:hAnsi="宋体" w:cs="宋体"/>
                <w:szCs w:val="21"/>
              </w:rPr>
            </w:pPr>
          </w:p>
        </w:tc>
      </w:tr>
      <w:tr w14:paraId="4EF9DE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10131" w:type="dxa"/>
            <w:gridSpan w:val="6"/>
            <w:tcBorders>
              <w:top w:val="single" w:color="auto" w:sz="4" w:space="0"/>
              <w:left w:val="single" w:color="auto" w:sz="4" w:space="0"/>
              <w:bottom w:val="single" w:color="auto" w:sz="4" w:space="0"/>
              <w:right w:val="single" w:color="auto" w:sz="4" w:space="0"/>
            </w:tcBorders>
            <w:vAlign w:val="center"/>
          </w:tcPr>
          <w:p w14:paraId="577F7009">
            <w:pPr>
              <w:snapToGrid w:val="0"/>
              <w:spacing w:before="50" w:after="50" w:line="360" w:lineRule="exact"/>
              <w:rPr>
                <w:rFonts w:hint="eastAsia" w:ascii="宋体" w:hAnsi="宋体" w:cs="宋体"/>
                <w:szCs w:val="21"/>
                <w:u w:val="single"/>
              </w:rPr>
            </w:pPr>
            <w:r>
              <w:rPr>
                <w:rFonts w:hint="eastAsia" w:ascii="宋体" w:hAnsi="宋体" w:cs="宋体"/>
                <w:sz w:val="24"/>
              </w:rPr>
              <w:t>合计金额大写：</w:t>
            </w:r>
            <w:r>
              <w:rPr>
                <w:rFonts w:hint="eastAsia" w:ascii="宋体" w:hAnsi="宋体" w:cs="宋体"/>
                <w:sz w:val="24"/>
                <w:u w:val="single"/>
              </w:rPr>
              <w:t xml:space="preserve">                                        ¥            </w:t>
            </w:r>
          </w:p>
        </w:tc>
      </w:tr>
    </w:tbl>
    <w:p w14:paraId="62C703A3">
      <w:pPr>
        <w:snapToGrid w:val="0"/>
        <w:spacing w:before="50" w:after="50" w:line="400" w:lineRule="exact"/>
        <w:jc w:val="left"/>
        <w:rPr>
          <w:rFonts w:hint="eastAsia" w:ascii="宋体" w:hAnsi="宋体" w:cs="宋体"/>
          <w:sz w:val="24"/>
        </w:rPr>
      </w:pPr>
    </w:p>
    <w:p w14:paraId="07E3694C">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注：1.</w:t>
      </w:r>
      <w:r>
        <w:rPr>
          <w:rFonts w:hint="eastAsia" w:ascii="宋体" w:hAnsi="宋体" w:cs="宋体"/>
          <w:b/>
          <w:sz w:val="24"/>
        </w:rPr>
        <w:t>此项材料必须</w:t>
      </w:r>
      <w:r>
        <w:rPr>
          <w:rFonts w:hint="eastAsia" w:ascii="宋体" w:hAnsi="宋体" w:cs="宋体"/>
          <w:b/>
          <w:bCs/>
          <w:sz w:val="24"/>
        </w:rPr>
        <w:t>以PDF格式上传；</w:t>
      </w:r>
    </w:p>
    <w:p w14:paraId="3A4B3D5C">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2.报价一经涂改，应在涂改处加盖投标人CA电子签章或者由法定代表人或授权委托代理人签字或盖章，否则其投标作无效标处理；</w:t>
      </w:r>
    </w:p>
    <w:p w14:paraId="737DC776">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3.投标报价包括系统产品交付的所有成本、各种费用的总和。</w:t>
      </w:r>
    </w:p>
    <w:p w14:paraId="3B5A004A">
      <w:pPr>
        <w:snapToGrid w:val="0"/>
        <w:spacing w:before="50" w:after="50" w:line="400" w:lineRule="exact"/>
        <w:ind w:firstLine="482" w:firstLineChars="200"/>
        <w:jc w:val="left"/>
        <w:rPr>
          <w:rFonts w:hint="eastAsia" w:ascii="宋体" w:hAnsi="宋体" w:cs="宋体"/>
          <w:b/>
          <w:bCs/>
          <w:sz w:val="24"/>
        </w:rPr>
      </w:pPr>
      <w:r>
        <w:rPr>
          <w:rFonts w:hint="eastAsia" w:ascii="宋体" w:hAnsi="宋体" w:cs="宋体"/>
          <w:b/>
          <w:bCs/>
          <w:sz w:val="24"/>
        </w:rPr>
        <w:t>4.以上报价应与“投标报价明细表”中的“投标总价”相一致。</w:t>
      </w:r>
    </w:p>
    <w:p w14:paraId="06C9EBA1">
      <w:pPr>
        <w:snapToGrid w:val="0"/>
        <w:spacing w:before="50" w:after="50" w:line="400" w:lineRule="exact"/>
        <w:ind w:right="-817" w:rightChars="-389"/>
        <w:rPr>
          <w:rFonts w:hint="eastAsia" w:ascii="宋体" w:hAnsi="宋体" w:cs="宋体"/>
          <w:b/>
          <w:sz w:val="24"/>
        </w:rPr>
      </w:pPr>
    </w:p>
    <w:p w14:paraId="0B6143AD">
      <w:pPr>
        <w:snapToGrid w:val="0"/>
        <w:spacing w:before="50" w:after="50" w:line="400" w:lineRule="exact"/>
        <w:ind w:right="-817" w:rightChars="-389"/>
        <w:rPr>
          <w:rFonts w:hint="eastAsia" w:ascii="宋体" w:hAnsi="宋体" w:cs="宋体"/>
          <w:b/>
          <w:sz w:val="24"/>
        </w:rPr>
      </w:pPr>
    </w:p>
    <w:p w14:paraId="2D6E0290">
      <w:pPr>
        <w:snapToGrid w:val="0"/>
        <w:spacing w:before="50" w:after="50" w:line="400" w:lineRule="exact"/>
        <w:ind w:left="-2" w:leftChars="-1" w:right="-817" w:rightChars="-389" w:firstLine="480" w:firstLineChars="200"/>
        <w:jc w:val="left"/>
        <w:rPr>
          <w:rFonts w:hint="eastAsia" w:ascii="宋体" w:hAnsi="宋体" w:cs="宋体"/>
          <w:sz w:val="24"/>
        </w:rPr>
      </w:pPr>
      <w:r>
        <w:rPr>
          <w:rFonts w:hint="eastAsia" w:ascii="宋体" w:hAnsi="宋体" w:cs="宋体"/>
          <w:sz w:val="24"/>
        </w:rPr>
        <w:t xml:space="preserve">                           法定代表人或委托代理人</w:t>
      </w:r>
      <w:r>
        <w:rPr>
          <w:rFonts w:hint="eastAsia" w:ascii="宋体" w:hAnsi="宋体" w:cs="宋体"/>
          <w:b/>
          <w:bCs/>
          <w:sz w:val="24"/>
        </w:rPr>
        <w:t>（签字）：</w:t>
      </w:r>
      <w:r>
        <w:rPr>
          <w:rFonts w:hint="eastAsia" w:ascii="宋体" w:hAnsi="宋体" w:cs="宋体"/>
          <w:sz w:val="24"/>
          <w:u w:val="single"/>
        </w:rPr>
        <w:t xml:space="preserve">                </w:t>
      </w:r>
    </w:p>
    <w:p w14:paraId="7065296C">
      <w:pPr>
        <w:pStyle w:val="11"/>
        <w:spacing w:line="400" w:lineRule="exact"/>
        <w:ind w:firstLine="5520" w:firstLineChars="2300"/>
        <w:rPr>
          <w:rFonts w:hint="eastAsia" w:hAnsi="宋体" w:cs="宋体"/>
          <w:sz w:val="24"/>
          <w:szCs w:val="24"/>
        </w:rPr>
      </w:pPr>
      <w:r>
        <w:rPr>
          <w:rFonts w:hint="eastAsia" w:hAnsi="宋体" w:cs="宋体"/>
          <w:sz w:val="24"/>
          <w:szCs w:val="24"/>
        </w:rPr>
        <w:t>投标人</w:t>
      </w:r>
      <w:r>
        <w:rPr>
          <w:rFonts w:hint="eastAsia" w:hAnsi="宋体" w:cs="宋体"/>
          <w:b/>
          <w:bCs/>
          <w:sz w:val="24"/>
          <w:szCs w:val="24"/>
        </w:rPr>
        <w:t>（CA电子签章）</w:t>
      </w:r>
      <w:r>
        <w:rPr>
          <w:rFonts w:hint="eastAsia" w:hAnsi="宋体" w:cs="宋体"/>
          <w:sz w:val="24"/>
          <w:szCs w:val="24"/>
        </w:rPr>
        <w:t>：</w:t>
      </w:r>
      <w:r>
        <w:rPr>
          <w:rFonts w:hint="eastAsia" w:hAnsi="宋体" w:cs="宋体"/>
          <w:sz w:val="24"/>
          <w:szCs w:val="24"/>
          <w:u w:val="single"/>
        </w:rPr>
        <w:t xml:space="preserve">                               </w:t>
      </w:r>
    </w:p>
    <w:p w14:paraId="73F30FA3">
      <w:pPr>
        <w:snapToGrid w:val="0"/>
        <w:spacing w:before="50" w:after="50" w:line="400" w:lineRule="exact"/>
        <w:ind w:left="-2" w:leftChars="-1" w:right="-817" w:rightChars="-389" w:firstLine="480" w:firstLineChars="200"/>
        <w:jc w:val="right"/>
        <w:rPr>
          <w:rFonts w:hint="eastAsia" w:ascii="宋体" w:hAnsi="宋体" w:cs="宋体"/>
          <w:sz w:val="24"/>
        </w:rPr>
      </w:pPr>
    </w:p>
    <w:p w14:paraId="0A4EABEA">
      <w:pPr>
        <w:pStyle w:val="12"/>
        <w:sectPr>
          <w:pgSz w:w="11906" w:h="16838"/>
          <w:pgMar w:top="1440" w:right="1247" w:bottom="1440" w:left="1361" w:header="851" w:footer="992" w:gutter="0"/>
          <w:cols w:space="720" w:num="1"/>
          <w:docGrid w:linePitch="312" w:charSpace="0"/>
        </w:sectPr>
      </w:pPr>
      <w:r>
        <w:rPr>
          <w:rFonts w:hint="eastAsia" w:ascii="宋体" w:hAnsi="宋体" w:cs="宋体"/>
          <w:sz w:val="24"/>
        </w:rPr>
        <w:t xml:space="preserve">                                         日期：       年   月   日</w:t>
      </w:r>
    </w:p>
    <w:p w14:paraId="33BEAFC1">
      <w:pPr>
        <w:pStyle w:val="15"/>
        <w:ind w:left="0" w:leftChars="0"/>
        <w:jc w:val="center"/>
        <w:rPr>
          <w:rFonts w:hint="eastAsia" w:ascii="宋体" w:hAnsi="宋体" w:cs="宋体"/>
          <w:b/>
          <w:bCs/>
          <w:w w:val="95"/>
          <w:sz w:val="56"/>
          <w:szCs w:val="56"/>
        </w:rPr>
      </w:pPr>
      <w:r>
        <w:rPr>
          <w:rFonts w:hint="eastAsia" w:ascii="宋体" w:hAnsi="宋体" w:cs="宋体"/>
          <w:b/>
          <w:bCs/>
          <w:w w:val="95"/>
          <w:sz w:val="56"/>
          <w:szCs w:val="56"/>
        </w:rPr>
        <w:t>三、商务技术文件格式</w:t>
      </w:r>
    </w:p>
    <w:p w14:paraId="35695E93">
      <w:pPr>
        <w:snapToGrid w:val="0"/>
        <w:spacing w:before="120" w:beforeLines="50" w:after="50" w:line="400" w:lineRule="exact"/>
        <w:jc w:val="left"/>
        <w:rPr>
          <w:rFonts w:hint="eastAsia" w:ascii="宋体" w:hAnsi="宋体" w:cs="宋体"/>
          <w:b/>
          <w:sz w:val="24"/>
        </w:rPr>
      </w:pPr>
    </w:p>
    <w:p w14:paraId="265DF09D">
      <w:pPr>
        <w:snapToGrid w:val="0"/>
        <w:spacing w:before="50" w:after="50" w:line="400" w:lineRule="exact"/>
        <w:rPr>
          <w:rFonts w:hint="eastAsia" w:ascii="宋体" w:hAnsi="宋体" w:cs="宋体"/>
          <w:b/>
          <w:bCs/>
          <w:sz w:val="24"/>
        </w:rPr>
      </w:pPr>
      <w:r>
        <w:rPr>
          <w:rFonts w:hint="eastAsia" w:ascii="宋体" w:hAnsi="宋体" w:cs="宋体"/>
          <w:b/>
          <w:sz w:val="24"/>
        </w:rPr>
        <w:t>商务技术</w:t>
      </w:r>
      <w:r>
        <w:rPr>
          <w:rFonts w:hint="eastAsia" w:ascii="宋体" w:hAnsi="宋体" w:cs="宋体"/>
          <w:b/>
          <w:bCs/>
          <w:sz w:val="24"/>
        </w:rPr>
        <w:t>文件目录：</w:t>
      </w:r>
    </w:p>
    <w:p w14:paraId="7CE48E40">
      <w:pPr>
        <w:snapToGrid w:val="0"/>
        <w:spacing w:before="50" w:after="50" w:line="400" w:lineRule="exact"/>
        <w:rPr>
          <w:rFonts w:hint="eastAsia" w:ascii="宋体" w:hAnsi="宋体" w:cs="宋体"/>
          <w:b/>
          <w:bCs/>
          <w:szCs w:val="21"/>
        </w:rPr>
      </w:pPr>
    </w:p>
    <w:p w14:paraId="67321792">
      <w:pPr>
        <w:tabs>
          <w:tab w:val="left" w:pos="3870"/>
          <w:tab w:val="left" w:pos="4085"/>
        </w:tabs>
        <w:snapToGrid w:val="0"/>
        <w:jc w:val="center"/>
        <w:rPr>
          <w:rFonts w:hint="eastAsia" w:ascii="宋体" w:hAnsi="宋体" w:cs="宋体"/>
          <w:sz w:val="36"/>
          <w:szCs w:val="36"/>
        </w:rPr>
      </w:pPr>
    </w:p>
    <w:p w14:paraId="07BF32A8">
      <w:pPr>
        <w:snapToGrid w:val="0"/>
        <w:spacing w:before="120" w:beforeLines="50" w:after="50" w:line="400" w:lineRule="exact"/>
        <w:ind w:firstLine="3960" w:firstLineChars="900"/>
        <w:jc w:val="left"/>
        <w:rPr>
          <w:rFonts w:hint="eastAsia" w:ascii="宋体" w:hAnsi="宋体" w:cs="宋体"/>
          <w:sz w:val="44"/>
          <w:szCs w:val="44"/>
        </w:rPr>
      </w:pPr>
      <w:r>
        <w:rPr>
          <w:rFonts w:hint="eastAsia" w:ascii="宋体" w:hAnsi="宋体" w:cs="宋体"/>
          <w:sz w:val="44"/>
          <w:szCs w:val="44"/>
        </w:rPr>
        <w:t>目    录</w:t>
      </w:r>
    </w:p>
    <w:p w14:paraId="4D06F8C0">
      <w:pPr>
        <w:snapToGrid w:val="0"/>
        <w:spacing w:line="400" w:lineRule="exact"/>
        <w:ind w:left="420"/>
        <w:jc w:val="left"/>
        <w:rPr>
          <w:rFonts w:hint="eastAsia" w:ascii="宋体" w:hAnsi="宋体" w:cs="宋体"/>
          <w:sz w:val="24"/>
        </w:rPr>
      </w:pPr>
      <w:r>
        <w:rPr>
          <w:rFonts w:hint="eastAsia" w:ascii="宋体" w:hAnsi="宋体" w:cs="宋体"/>
          <w:sz w:val="24"/>
        </w:rPr>
        <w:t>（1）投标函（</w:t>
      </w:r>
      <w:r>
        <w:rPr>
          <w:rFonts w:hint="eastAsia" w:ascii="宋体" w:hAnsi="宋体" w:cs="宋体"/>
          <w:b/>
          <w:bCs/>
          <w:sz w:val="24"/>
        </w:rPr>
        <w:t>必须提供</w:t>
      </w:r>
      <w:r>
        <w:rPr>
          <w:rFonts w:hint="eastAsia" w:ascii="宋体" w:hAnsi="宋体" w:cs="宋体"/>
          <w:sz w:val="24"/>
        </w:rPr>
        <w:t>）……………………………………………</w:t>
      </w:r>
    </w:p>
    <w:p w14:paraId="1F81AD8D">
      <w:pPr>
        <w:snapToGrid w:val="0"/>
        <w:spacing w:line="400" w:lineRule="exact"/>
        <w:ind w:firstLine="420"/>
        <w:jc w:val="left"/>
        <w:rPr>
          <w:rFonts w:hint="eastAsia" w:ascii="宋体" w:hAnsi="宋体" w:cs="宋体"/>
          <w:sz w:val="24"/>
        </w:rPr>
      </w:pPr>
      <w:r>
        <w:rPr>
          <w:rFonts w:hint="eastAsia" w:ascii="宋体" w:hAnsi="宋体" w:cs="宋体"/>
          <w:sz w:val="24"/>
        </w:rPr>
        <w:t>（2）技术响应表（</w:t>
      </w:r>
      <w:r>
        <w:rPr>
          <w:rFonts w:hint="eastAsia" w:ascii="宋体" w:hAnsi="宋体" w:cs="宋体"/>
          <w:b/>
          <w:bCs/>
          <w:sz w:val="24"/>
        </w:rPr>
        <w:t>必须提供</w:t>
      </w:r>
      <w:r>
        <w:rPr>
          <w:rFonts w:hint="eastAsia" w:ascii="宋体" w:hAnsi="宋体" w:cs="宋体"/>
          <w:sz w:val="24"/>
        </w:rPr>
        <w:t>）…………………………………</w:t>
      </w:r>
    </w:p>
    <w:p w14:paraId="4CEBBEDB">
      <w:pPr>
        <w:snapToGrid w:val="0"/>
        <w:spacing w:line="400" w:lineRule="exact"/>
        <w:ind w:firstLine="472" w:firstLineChars="197"/>
        <w:jc w:val="left"/>
        <w:rPr>
          <w:rFonts w:hint="eastAsia" w:ascii="宋体" w:hAnsi="宋体" w:cs="宋体"/>
          <w:sz w:val="24"/>
        </w:rPr>
      </w:pPr>
      <w:r>
        <w:rPr>
          <w:rFonts w:hint="eastAsia" w:ascii="宋体" w:hAnsi="宋体" w:cs="宋体"/>
          <w:sz w:val="24"/>
        </w:rPr>
        <w:t>（3）商务响应表</w:t>
      </w:r>
      <w:r>
        <w:rPr>
          <w:rFonts w:hint="eastAsia" w:ascii="宋体" w:hAnsi="宋体" w:cs="宋体"/>
          <w:b/>
          <w:bCs/>
          <w:sz w:val="24"/>
        </w:rPr>
        <w:t>（必须提供，格式见第六章）</w:t>
      </w:r>
      <w:r>
        <w:rPr>
          <w:rFonts w:hint="eastAsia" w:ascii="宋体" w:hAnsi="宋体" w:cs="宋体"/>
          <w:sz w:val="24"/>
        </w:rPr>
        <w:t>………………………………………</w:t>
      </w:r>
    </w:p>
    <w:p w14:paraId="0B05C016">
      <w:pPr>
        <w:snapToGrid w:val="0"/>
        <w:spacing w:line="400" w:lineRule="exact"/>
        <w:ind w:firstLine="472" w:firstLineChars="197"/>
        <w:jc w:val="left"/>
        <w:rPr>
          <w:rFonts w:hint="eastAsia" w:ascii="宋体" w:hAnsi="宋体" w:cs="宋体"/>
          <w:sz w:val="24"/>
        </w:rPr>
      </w:pPr>
      <w:r>
        <w:rPr>
          <w:rFonts w:hint="eastAsia" w:ascii="宋体" w:hAnsi="宋体" w:cs="宋体"/>
          <w:sz w:val="24"/>
        </w:rPr>
        <w:t>（4）项目实施方案（如有，格式见第六章）………………………………………………</w:t>
      </w:r>
    </w:p>
    <w:p w14:paraId="76A6CE60">
      <w:pPr>
        <w:snapToGrid w:val="0"/>
        <w:spacing w:line="400" w:lineRule="exact"/>
        <w:ind w:firstLine="472" w:firstLineChars="197"/>
        <w:jc w:val="left"/>
        <w:rPr>
          <w:rFonts w:hint="eastAsia" w:ascii="宋体" w:hAnsi="宋体" w:cs="宋体"/>
          <w:sz w:val="24"/>
        </w:rPr>
      </w:pPr>
      <w:r>
        <w:rPr>
          <w:rFonts w:hint="eastAsia" w:ascii="宋体" w:hAnsi="宋体" w:cs="宋体"/>
          <w:sz w:val="24"/>
        </w:rPr>
        <w:t>（5）技术培训方案（如有，格式见第六章）………………………………………………</w:t>
      </w:r>
    </w:p>
    <w:p w14:paraId="78483687">
      <w:pPr>
        <w:snapToGrid w:val="0"/>
        <w:spacing w:line="400" w:lineRule="exact"/>
        <w:ind w:firstLine="472" w:firstLineChars="197"/>
        <w:jc w:val="left"/>
        <w:rPr>
          <w:rFonts w:hint="eastAsia" w:ascii="宋体" w:hAnsi="宋体" w:cs="宋体"/>
          <w:sz w:val="24"/>
        </w:rPr>
      </w:pPr>
      <w:r>
        <w:rPr>
          <w:rFonts w:hint="eastAsia" w:ascii="宋体" w:hAnsi="宋体" w:cs="宋体"/>
          <w:sz w:val="24"/>
        </w:rPr>
        <w:t>（6）售后服务方案及承诺书（如有，格式见第六章）………………………………………</w:t>
      </w:r>
    </w:p>
    <w:p w14:paraId="0560CA6A">
      <w:pPr>
        <w:snapToGrid w:val="0"/>
        <w:spacing w:line="400" w:lineRule="exact"/>
        <w:ind w:firstLine="472" w:firstLineChars="197"/>
        <w:jc w:val="left"/>
        <w:rPr>
          <w:rFonts w:hint="eastAsia" w:ascii="宋体" w:hAnsi="宋体" w:cs="宋体"/>
          <w:sz w:val="24"/>
        </w:rPr>
      </w:pPr>
      <w:r>
        <w:rPr>
          <w:rFonts w:hint="eastAsia" w:ascii="宋体" w:hAnsi="宋体" w:cs="宋体"/>
          <w:sz w:val="24"/>
        </w:rPr>
        <w:t>（7）投标人同类项目经验一览表（如有，格式见第六章）………………………………</w:t>
      </w:r>
    </w:p>
    <w:p w14:paraId="6D41F13D">
      <w:pPr>
        <w:snapToGrid w:val="0"/>
        <w:spacing w:line="400" w:lineRule="exact"/>
        <w:ind w:firstLine="472" w:firstLineChars="197"/>
        <w:jc w:val="left"/>
        <w:rPr>
          <w:rFonts w:hint="eastAsia" w:ascii="宋体" w:hAnsi="宋体" w:cs="宋体"/>
          <w:sz w:val="24"/>
        </w:rPr>
      </w:pPr>
      <w:r>
        <w:rPr>
          <w:rFonts w:hint="eastAsia" w:ascii="宋体" w:hAnsi="宋体" w:cs="宋体"/>
          <w:sz w:val="24"/>
        </w:rPr>
        <w:t>（8）拟投入服务团队人员一览表（如有，格式见第六章）………………………………</w:t>
      </w:r>
    </w:p>
    <w:p w14:paraId="15D09BDC">
      <w:pPr>
        <w:snapToGrid w:val="0"/>
        <w:spacing w:line="400" w:lineRule="exact"/>
        <w:ind w:firstLine="472" w:firstLineChars="197"/>
        <w:jc w:val="left"/>
        <w:rPr>
          <w:rFonts w:hint="eastAsia" w:ascii="宋体" w:hAnsi="宋体" w:cs="宋体"/>
          <w:sz w:val="24"/>
        </w:rPr>
      </w:pPr>
      <w:r>
        <w:rPr>
          <w:rFonts w:hint="eastAsia" w:ascii="宋体" w:hAnsi="宋体" w:cs="宋体"/>
          <w:sz w:val="24"/>
        </w:rPr>
        <w:t>（9）有效的管理体系认证证书（如有）……………………………</w:t>
      </w:r>
    </w:p>
    <w:p w14:paraId="7EF81392">
      <w:pPr>
        <w:snapToGrid w:val="0"/>
        <w:spacing w:line="400" w:lineRule="exact"/>
        <w:ind w:firstLine="472" w:firstLineChars="197"/>
        <w:jc w:val="left"/>
        <w:rPr>
          <w:rFonts w:hint="eastAsia" w:ascii="宋体" w:hAnsi="宋体" w:cs="宋体"/>
          <w:sz w:val="24"/>
        </w:rPr>
      </w:pPr>
      <w:r>
        <w:rPr>
          <w:rFonts w:hint="eastAsia" w:ascii="宋体" w:hAnsi="宋体" w:cs="宋体"/>
          <w:sz w:val="24"/>
        </w:rPr>
        <w:t>（10）投标产品为非政府强制采购节能产品，由国家确定的认证机构出具的、处于有效期之内的节能产品认证证书（如有）………………………………………………………</w:t>
      </w:r>
    </w:p>
    <w:p w14:paraId="0E13C147">
      <w:pPr>
        <w:snapToGrid w:val="0"/>
        <w:spacing w:line="400" w:lineRule="exact"/>
        <w:ind w:firstLine="472" w:firstLineChars="197"/>
        <w:jc w:val="left"/>
        <w:rPr>
          <w:rFonts w:hint="eastAsia" w:ascii="宋体" w:hAnsi="宋体" w:cs="宋体"/>
          <w:sz w:val="24"/>
        </w:rPr>
      </w:pPr>
      <w:r>
        <w:rPr>
          <w:rFonts w:hint="eastAsia" w:ascii="宋体" w:hAnsi="宋体" w:cs="宋体"/>
          <w:sz w:val="24"/>
        </w:rPr>
        <w:t>（11）投标人认为必要提供的声明及文件资料或招标文件第二章采购需求中要求提供的相关证明材料（如有）………………………………………………………</w:t>
      </w:r>
    </w:p>
    <w:p w14:paraId="26EA7060">
      <w:pPr>
        <w:snapToGrid w:val="0"/>
        <w:spacing w:before="120" w:beforeLines="50" w:after="50" w:line="400" w:lineRule="exact"/>
        <w:jc w:val="left"/>
        <w:rPr>
          <w:rFonts w:hint="eastAsia" w:ascii="宋体" w:hAnsi="宋体" w:cs="宋体"/>
          <w:b/>
          <w:sz w:val="24"/>
        </w:rPr>
      </w:pPr>
      <w:r>
        <w:rPr>
          <w:rFonts w:hint="eastAsia" w:ascii="宋体" w:hAnsi="宋体" w:cs="宋体"/>
          <w:b/>
          <w:sz w:val="24"/>
        </w:rPr>
        <w:br w:type="page"/>
      </w:r>
      <w:r>
        <w:rPr>
          <w:rFonts w:hint="eastAsia" w:ascii="宋体" w:hAnsi="宋体" w:cs="宋体"/>
          <w:b/>
          <w:sz w:val="24"/>
        </w:rPr>
        <w:t>（1）投标函格式（必须提供）：</w:t>
      </w:r>
    </w:p>
    <w:p w14:paraId="0AE5D377">
      <w:pPr>
        <w:snapToGrid w:val="0"/>
        <w:spacing w:before="50" w:after="50" w:line="400" w:lineRule="exact"/>
        <w:ind w:firstLine="3518" w:firstLineChars="1095"/>
        <w:rPr>
          <w:rFonts w:hint="eastAsia" w:ascii="宋体" w:hAnsi="宋体" w:cs="宋体"/>
          <w:b/>
          <w:sz w:val="32"/>
        </w:rPr>
      </w:pPr>
      <w:r>
        <w:rPr>
          <w:rFonts w:hint="eastAsia" w:ascii="宋体" w:hAnsi="宋体" w:cs="宋体"/>
          <w:b/>
          <w:sz w:val="32"/>
          <w:szCs w:val="32"/>
        </w:rPr>
        <w:t>投 标 函</w:t>
      </w:r>
    </w:p>
    <w:p w14:paraId="2DEE45BD">
      <w:pPr>
        <w:pStyle w:val="11"/>
        <w:spacing w:line="400" w:lineRule="exact"/>
        <w:ind w:left="-10" w:firstLine="6" w:firstLineChars="3"/>
        <w:jc w:val="center"/>
        <w:rPr>
          <w:rFonts w:hint="eastAsia" w:hAnsi="宋体" w:cs="宋体"/>
          <w:b/>
        </w:rPr>
      </w:pPr>
    </w:p>
    <w:p w14:paraId="28F61E68">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szCs w:val="21"/>
        </w:rPr>
        <w:t>：</w:t>
      </w:r>
    </w:p>
    <w:p w14:paraId="04F93ED9">
      <w:pPr>
        <w:snapToGrid w:val="0"/>
        <w:spacing w:line="400" w:lineRule="exact"/>
        <w:ind w:firstLine="48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xml:space="preserve">                       </w:t>
      </w:r>
      <w:r>
        <w:rPr>
          <w:rFonts w:hint="eastAsia" w:ascii="宋体" w:hAnsi="宋体" w:cs="宋体"/>
          <w:szCs w:val="21"/>
        </w:rPr>
        <w:t>项目的招标公告（项目编号：</w:t>
      </w:r>
      <w:r>
        <w:rPr>
          <w:rFonts w:hint="eastAsia" w:ascii="宋体" w:hAnsi="宋体" w:cs="宋体"/>
          <w:szCs w:val="21"/>
          <w:u w:val="single"/>
        </w:rPr>
        <w:t xml:space="preserve">           </w:t>
      </w:r>
      <w:r>
        <w:rPr>
          <w:rFonts w:hint="eastAsia" w:ascii="宋体" w:hAnsi="宋体" w:cs="宋体"/>
          <w:szCs w:val="21"/>
        </w:rPr>
        <w:t xml:space="preserve">），我方 </w:t>
      </w:r>
    </w:p>
    <w:p w14:paraId="68ECADBF">
      <w:pPr>
        <w:snapToGrid w:val="0"/>
        <w:spacing w:line="400" w:lineRule="exact"/>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（姓名及职务）经正式授权并代表投标人</w:t>
      </w:r>
      <w:r>
        <w:rPr>
          <w:rFonts w:hint="eastAsia" w:ascii="宋体" w:hAnsi="宋体" w:cs="宋体"/>
          <w:szCs w:val="21"/>
          <w:u w:val="single"/>
        </w:rPr>
        <w:t xml:space="preserve">         </w:t>
      </w:r>
      <w:r>
        <w:rPr>
          <w:rFonts w:hint="eastAsia" w:ascii="宋体" w:hAnsi="宋体" w:cs="宋体"/>
          <w:szCs w:val="21"/>
        </w:rPr>
        <w:t>（投标人名称）提交</w:t>
      </w:r>
      <w:r>
        <w:rPr>
          <w:rFonts w:hint="eastAsia" w:ascii="宋体" w:hAnsi="宋体" w:cs="宋体"/>
          <w:szCs w:val="21"/>
          <w:u w:val="single"/>
        </w:rPr>
        <w:t xml:space="preserve">     分标</w:t>
      </w:r>
      <w:r>
        <w:rPr>
          <w:rFonts w:hint="eastAsia" w:ascii="宋体" w:hAnsi="宋体" w:cs="宋体"/>
          <w:szCs w:val="21"/>
        </w:rPr>
        <w:t>电子投标文件，包括：资格文件、报价文件、商务技术文件三部分。</w:t>
      </w:r>
    </w:p>
    <w:p w14:paraId="5AD26AF3">
      <w:pPr>
        <w:snapToGrid w:val="0"/>
        <w:spacing w:line="400" w:lineRule="exact"/>
        <w:ind w:firstLine="420" w:firstLineChars="200"/>
        <w:rPr>
          <w:rFonts w:hint="eastAsia" w:ascii="宋体" w:hAnsi="宋体" w:cs="宋体"/>
          <w:szCs w:val="21"/>
        </w:rPr>
      </w:pPr>
      <w:r>
        <w:rPr>
          <w:rFonts w:hint="eastAsia" w:ascii="宋体" w:hAnsi="宋体" w:cs="宋体"/>
          <w:szCs w:val="21"/>
        </w:rPr>
        <w:t>据此函，授权代表宣布同意如下：</w:t>
      </w:r>
    </w:p>
    <w:p w14:paraId="555DE210">
      <w:pPr>
        <w:snapToGrid w:val="0"/>
        <w:spacing w:line="400" w:lineRule="exact"/>
        <w:ind w:firstLine="420" w:firstLineChars="200"/>
        <w:rPr>
          <w:rFonts w:hint="eastAsia" w:ascii="宋体" w:hAnsi="宋体" w:cs="宋体"/>
          <w:szCs w:val="21"/>
        </w:rPr>
      </w:pPr>
      <w:r>
        <w:rPr>
          <w:rFonts w:hint="eastAsia" w:ascii="宋体" w:hAnsi="宋体" w:cs="宋体"/>
          <w:szCs w:val="21"/>
        </w:rPr>
        <w:t>1.已详细审查全部招标文件，包括修改文件（如有的话）以及全部参考资料和有关附件，已经了解我方对于招标文件、采购过程、采购结果有依法进行询问、质疑、投诉的权利及相关渠道和要求。</w:t>
      </w:r>
    </w:p>
    <w:p w14:paraId="0DB66E56">
      <w:pPr>
        <w:snapToGrid w:val="0"/>
        <w:spacing w:line="400" w:lineRule="exact"/>
        <w:ind w:firstLine="420" w:firstLineChars="200"/>
        <w:rPr>
          <w:rFonts w:hint="eastAsia" w:ascii="宋体" w:hAnsi="宋体" w:cs="宋体"/>
          <w:szCs w:val="21"/>
        </w:rPr>
      </w:pPr>
      <w:r>
        <w:rPr>
          <w:rFonts w:hint="eastAsia" w:ascii="宋体" w:hAnsi="宋体" w:cs="宋体"/>
          <w:szCs w:val="21"/>
        </w:rPr>
        <w:t>2.在投标之前已经与贵方进行了充分的沟通，完全理解并接受招标文件的各项规定和要求，对招标文件的合理性、合法性不再有异议。</w:t>
      </w:r>
    </w:p>
    <w:p w14:paraId="2AB389A6">
      <w:pPr>
        <w:snapToGrid w:val="0"/>
        <w:spacing w:line="400" w:lineRule="exact"/>
        <w:ind w:firstLine="420" w:firstLineChars="200"/>
        <w:rPr>
          <w:rFonts w:hint="eastAsia" w:ascii="宋体" w:hAnsi="宋体" w:cs="宋体"/>
          <w:szCs w:val="21"/>
        </w:rPr>
      </w:pPr>
      <w:r>
        <w:rPr>
          <w:rFonts w:hint="eastAsia" w:ascii="宋体" w:hAnsi="宋体" w:cs="宋体"/>
          <w:szCs w:val="21"/>
        </w:rPr>
        <w:t>3.本投标有效期自投标截止日期后</w:t>
      </w:r>
      <w:r>
        <w:rPr>
          <w:rFonts w:hint="eastAsia" w:ascii="宋体" w:hAnsi="宋体" w:cs="宋体"/>
          <w:szCs w:val="21"/>
          <w:u w:val="single"/>
        </w:rPr>
        <w:t xml:space="preserve">      </w:t>
      </w:r>
      <w:r>
        <w:rPr>
          <w:rFonts w:hint="eastAsia" w:ascii="宋体" w:hAnsi="宋体" w:cs="宋体"/>
          <w:szCs w:val="21"/>
        </w:rPr>
        <w:t>天（日历天）</w:t>
      </w:r>
      <w:r>
        <w:rPr>
          <w:rFonts w:hint="eastAsia" w:ascii="宋体" w:hAnsi="宋体" w:cs="宋体"/>
          <w:b/>
          <w:bCs/>
          <w:szCs w:val="21"/>
        </w:rPr>
        <w:t>（不得少于90天，否则投标无效）</w:t>
      </w:r>
      <w:r>
        <w:rPr>
          <w:rFonts w:hint="eastAsia" w:ascii="宋体" w:hAnsi="宋体" w:cs="宋体"/>
          <w:szCs w:val="21"/>
        </w:rPr>
        <w:t>。</w:t>
      </w:r>
    </w:p>
    <w:p w14:paraId="44B465D1">
      <w:pPr>
        <w:snapToGrid w:val="0"/>
        <w:spacing w:line="400" w:lineRule="exact"/>
        <w:ind w:firstLine="420" w:firstLineChars="200"/>
        <w:rPr>
          <w:rFonts w:hint="eastAsia" w:ascii="宋体" w:hAnsi="宋体" w:cs="宋体"/>
          <w:szCs w:val="21"/>
        </w:rPr>
      </w:pPr>
      <w:r>
        <w:rPr>
          <w:rFonts w:hint="eastAsia" w:ascii="宋体" w:hAnsi="宋体" w:cs="宋体"/>
          <w:szCs w:val="21"/>
        </w:rPr>
        <w:t>4.如中标，本投标文件至本项目合同履行完毕止均保持有效，本投标人将按招标文件及政府采购法律、法规的规定履行合同责任和义务。</w:t>
      </w:r>
    </w:p>
    <w:p w14:paraId="57B2EBD3">
      <w:pPr>
        <w:snapToGrid w:val="0"/>
        <w:spacing w:line="400" w:lineRule="exact"/>
        <w:ind w:firstLine="420" w:firstLineChars="200"/>
        <w:rPr>
          <w:rFonts w:hint="eastAsia" w:ascii="宋体" w:hAnsi="宋体" w:cs="宋体"/>
          <w:szCs w:val="21"/>
        </w:rPr>
      </w:pPr>
      <w:r>
        <w:rPr>
          <w:rFonts w:hint="eastAsia" w:ascii="宋体" w:hAnsi="宋体" w:cs="宋体"/>
          <w:szCs w:val="21"/>
        </w:rPr>
        <w:t>5.同意按照贵方要求提供与投标有关的一切数据或资料，并承诺我方向贵方提交的所有投标文件、资料都是准确的和真实的。</w:t>
      </w:r>
    </w:p>
    <w:p w14:paraId="060DE2E2">
      <w:pPr>
        <w:snapToGrid w:val="0"/>
        <w:spacing w:line="400" w:lineRule="exact"/>
        <w:ind w:firstLine="420" w:firstLineChars="200"/>
        <w:rPr>
          <w:rFonts w:hint="eastAsia" w:ascii="宋体" w:hAnsi="宋体" w:cs="宋体"/>
          <w:szCs w:val="21"/>
        </w:rPr>
      </w:pPr>
      <w:r>
        <w:rPr>
          <w:rFonts w:hint="eastAsia" w:ascii="宋体" w:hAnsi="宋体" w:cs="宋体"/>
          <w:szCs w:val="21"/>
        </w:rPr>
        <w:t>6.我方不是采购人的附属机构；在获知本项目采购信息后，与采购人聘请的为此项目提供咨询服务的公司及其附属机构没有任何联系。</w:t>
      </w:r>
    </w:p>
    <w:p w14:paraId="5DC5BAC9">
      <w:pPr>
        <w:snapToGrid w:val="0"/>
        <w:spacing w:line="400" w:lineRule="exact"/>
        <w:ind w:firstLine="420" w:firstLineChars="200"/>
        <w:rPr>
          <w:rFonts w:hint="eastAsia" w:ascii="宋体" w:hAnsi="宋体" w:cs="宋体"/>
          <w:szCs w:val="21"/>
        </w:rPr>
      </w:pPr>
      <w:r>
        <w:rPr>
          <w:rFonts w:hint="eastAsia" w:ascii="宋体" w:hAnsi="宋体" w:cs="宋体"/>
          <w:szCs w:val="21"/>
        </w:rPr>
        <w:t>7.以上事项如有虚假或隐瞒，我方愿意承担一切后果，并不再寻求任何旨在减轻或免除法律责任的辩解。</w:t>
      </w:r>
    </w:p>
    <w:p w14:paraId="059BA430">
      <w:pPr>
        <w:snapToGrid w:val="0"/>
        <w:spacing w:line="400" w:lineRule="exact"/>
        <w:ind w:firstLine="420" w:firstLineChars="200"/>
        <w:rPr>
          <w:rFonts w:hint="eastAsia" w:ascii="宋体" w:hAnsi="宋体" w:cs="宋体"/>
          <w:szCs w:val="21"/>
        </w:rPr>
      </w:pPr>
      <w:r>
        <w:rPr>
          <w:rFonts w:hint="eastAsia" w:ascii="宋体" w:hAnsi="宋体" w:cs="宋体"/>
        </w:rPr>
        <w:t>8</w:t>
      </w:r>
      <w:r>
        <w:rPr>
          <w:rFonts w:hint="eastAsia" w:ascii="宋体" w:hAnsi="宋体" w:cs="宋体"/>
          <w:szCs w:val="21"/>
        </w:rPr>
        <w:t>.与本投标有关的一切正式往来信函请寄：</w:t>
      </w:r>
    </w:p>
    <w:p w14:paraId="3EF67FE2">
      <w:pPr>
        <w:snapToGrid w:val="0"/>
        <w:spacing w:line="400" w:lineRule="exact"/>
        <w:ind w:firstLine="420" w:firstLineChars="200"/>
        <w:rPr>
          <w:rFonts w:hint="eastAsia"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电话：</w:t>
      </w:r>
      <w:r>
        <w:rPr>
          <w:rFonts w:hint="eastAsia" w:ascii="宋体" w:hAnsi="宋体" w:cs="宋体"/>
          <w:szCs w:val="21"/>
          <w:u w:val="single"/>
        </w:rPr>
        <w:t xml:space="preserve">            </w:t>
      </w:r>
    </w:p>
    <w:p w14:paraId="1194CEA8">
      <w:pPr>
        <w:snapToGrid w:val="0"/>
        <w:spacing w:line="400" w:lineRule="exact"/>
        <w:ind w:firstLine="420" w:firstLineChars="200"/>
        <w:rPr>
          <w:rFonts w:hint="eastAsia"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14:paraId="14C8B66F">
      <w:pPr>
        <w:snapToGrid w:val="0"/>
        <w:spacing w:line="400" w:lineRule="exact"/>
        <w:ind w:firstLine="420" w:firstLineChars="200"/>
        <w:rPr>
          <w:rFonts w:hint="eastAsia" w:ascii="宋体" w:hAnsi="宋体" w:cs="宋体"/>
          <w:szCs w:val="21"/>
        </w:rPr>
      </w:pPr>
      <w:r>
        <w:rPr>
          <w:rFonts w:hint="eastAsia" w:ascii="宋体" w:hAnsi="宋体" w:cs="宋体"/>
          <w:szCs w:val="21"/>
        </w:rPr>
        <w:t>投标人名称(全称)：</w:t>
      </w:r>
      <w:r>
        <w:rPr>
          <w:rFonts w:hint="eastAsia" w:ascii="宋体" w:hAnsi="宋体" w:cs="宋体"/>
          <w:szCs w:val="21"/>
          <w:u w:val="single"/>
        </w:rPr>
        <w:t xml:space="preserve">                                                 </w:t>
      </w:r>
    </w:p>
    <w:p w14:paraId="730B8B06">
      <w:pPr>
        <w:snapToGrid w:val="0"/>
        <w:spacing w:line="400" w:lineRule="exact"/>
        <w:ind w:firstLine="420" w:firstLineChars="200"/>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账号：</w:t>
      </w:r>
      <w:r>
        <w:rPr>
          <w:rFonts w:hint="eastAsia" w:ascii="宋体" w:hAnsi="宋体" w:cs="宋体"/>
          <w:szCs w:val="21"/>
          <w:u w:val="single"/>
        </w:rPr>
        <w:t xml:space="preserve">                        </w:t>
      </w:r>
    </w:p>
    <w:p w14:paraId="1CE1690E">
      <w:pPr>
        <w:snapToGrid w:val="0"/>
        <w:spacing w:line="400" w:lineRule="exact"/>
        <w:ind w:firstLine="420" w:firstLineChars="200"/>
        <w:rPr>
          <w:rFonts w:hint="eastAsia" w:ascii="宋体" w:hAnsi="宋体" w:cs="宋体"/>
        </w:rPr>
      </w:pPr>
      <w:r>
        <w:rPr>
          <w:rFonts w:hint="eastAsia" w:ascii="宋体" w:hAnsi="宋体" w:cs="宋体"/>
          <w:szCs w:val="21"/>
        </w:rPr>
        <w:t xml:space="preserve">         </w:t>
      </w:r>
    </w:p>
    <w:p w14:paraId="0E880BF1">
      <w:pPr>
        <w:pStyle w:val="11"/>
        <w:spacing w:line="400" w:lineRule="exact"/>
        <w:ind w:firstLine="4515" w:firstLineChars="2150"/>
        <w:rPr>
          <w:rFonts w:hint="eastAsia" w:hAnsi="宋体" w:cs="宋体"/>
        </w:rPr>
      </w:pPr>
    </w:p>
    <w:p w14:paraId="143EC577">
      <w:pPr>
        <w:spacing w:line="400" w:lineRule="exact"/>
        <w:jc w:val="center"/>
        <w:rPr>
          <w:rFonts w:hint="eastAsia" w:ascii="宋体" w:hAnsi="宋体" w:cs="宋体"/>
          <w:szCs w:val="21"/>
          <w:u w:val="single"/>
        </w:rPr>
      </w:pPr>
      <w:r>
        <w:rPr>
          <w:rFonts w:hint="eastAsia" w:ascii="宋体" w:hAnsi="宋体" w:cs="宋体"/>
          <w:szCs w:val="21"/>
        </w:rPr>
        <w:t xml:space="preserve">                      法定代表人或委托代理人</w:t>
      </w:r>
      <w:r>
        <w:rPr>
          <w:rFonts w:hint="eastAsia" w:ascii="宋体" w:hAnsi="宋体" w:cs="宋体"/>
          <w:b/>
          <w:bCs/>
          <w:szCs w:val="21"/>
        </w:rPr>
        <w:t>（签字）：</w:t>
      </w:r>
      <w:r>
        <w:rPr>
          <w:rFonts w:hint="eastAsia" w:ascii="宋体" w:hAnsi="宋体" w:cs="宋体"/>
          <w:szCs w:val="21"/>
          <w:u w:val="single"/>
        </w:rPr>
        <w:t xml:space="preserve">                   </w:t>
      </w:r>
    </w:p>
    <w:p w14:paraId="472A2073">
      <w:pPr>
        <w:pStyle w:val="11"/>
        <w:spacing w:line="400" w:lineRule="exact"/>
        <w:rPr>
          <w:rFonts w:hint="eastAsia" w:hAnsi="宋体" w:cs="宋体"/>
        </w:rPr>
      </w:pPr>
      <w:r>
        <w:rPr>
          <w:rFonts w:hint="eastAsia" w:hAnsi="宋体" w:cs="宋体"/>
        </w:rPr>
        <w:t xml:space="preserve">                                          投标人</w:t>
      </w:r>
      <w:r>
        <w:rPr>
          <w:rFonts w:hint="eastAsia" w:hAnsi="宋体" w:cs="宋体"/>
          <w:b/>
          <w:bCs/>
        </w:rPr>
        <w:t>（CA电子签章）</w:t>
      </w:r>
      <w:r>
        <w:rPr>
          <w:rFonts w:hint="eastAsia" w:hAnsi="宋体" w:cs="宋体"/>
        </w:rPr>
        <w:t>：</w:t>
      </w:r>
      <w:r>
        <w:rPr>
          <w:rFonts w:hint="eastAsia" w:hAnsi="宋体" w:cs="宋体"/>
          <w:u w:val="single"/>
        </w:rPr>
        <w:t xml:space="preserve">                               </w:t>
      </w:r>
    </w:p>
    <w:p w14:paraId="362BBACA">
      <w:pPr>
        <w:pStyle w:val="11"/>
        <w:spacing w:line="400" w:lineRule="exact"/>
        <w:rPr>
          <w:rFonts w:hint="eastAsia" w:hAnsi="宋体" w:cs="宋体"/>
        </w:rPr>
      </w:pPr>
    </w:p>
    <w:p w14:paraId="46A99726">
      <w:pPr>
        <w:pStyle w:val="11"/>
        <w:spacing w:line="400" w:lineRule="exact"/>
        <w:ind w:firstLine="6300" w:firstLineChars="3000"/>
        <w:rPr>
          <w:rFonts w:hint="eastAsia" w:hAnsi="宋体" w:cs="宋体"/>
        </w:rPr>
      </w:pPr>
      <w:r>
        <w:rPr>
          <w:rFonts w:hint="eastAsia" w:hAnsi="宋体" w:cs="宋体"/>
        </w:rPr>
        <w:t>日期：       年   月   日</w:t>
      </w:r>
    </w:p>
    <w:p w14:paraId="73185662">
      <w:pPr>
        <w:pStyle w:val="11"/>
        <w:spacing w:line="400" w:lineRule="exact"/>
        <w:rPr>
          <w:rFonts w:hint="eastAsia" w:hAnsi="宋体" w:cs="宋体"/>
        </w:rPr>
      </w:pPr>
    </w:p>
    <w:p w14:paraId="07B6D5AE">
      <w:pPr>
        <w:pStyle w:val="24"/>
        <w:rPr>
          <w:rFonts w:hint="eastAsia"/>
          <w:b/>
          <w:bCs/>
        </w:rPr>
      </w:pPr>
      <w:r>
        <w:rPr>
          <w:rFonts w:hint="eastAsia"/>
          <w:b/>
          <w:bCs/>
        </w:rPr>
        <w:t>（2）技术响应表格式（必须提供）：</w:t>
      </w:r>
    </w:p>
    <w:p w14:paraId="0C30333B">
      <w:pPr>
        <w:pStyle w:val="24"/>
        <w:ind w:left="412"/>
        <w:jc w:val="center"/>
        <w:rPr>
          <w:rFonts w:hint="eastAsia"/>
          <w:b/>
          <w:bCs/>
          <w:sz w:val="32"/>
          <w:szCs w:val="32"/>
        </w:rPr>
      </w:pPr>
      <w:r>
        <w:rPr>
          <w:rFonts w:hint="eastAsia"/>
          <w:b/>
          <w:bCs/>
          <w:sz w:val="32"/>
          <w:szCs w:val="32"/>
        </w:rPr>
        <w:t>技术响应表</w:t>
      </w:r>
    </w:p>
    <w:p w14:paraId="302A08B2">
      <w:pPr>
        <w:pStyle w:val="24"/>
        <w:ind w:left="412"/>
        <w:jc w:val="center"/>
        <w:rPr>
          <w:rFonts w:hint="eastAsia"/>
          <w:b/>
          <w:bCs/>
          <w:sz w:val="32"/>
          <w:szCs w:val="32"/>
        </w:rPr>
      </w:pPr>
    </w:p>
    <w:tbl>
      <w:tblPr>
        <w:tblStyle w:val="17"/>
        <w:tblW w:w="9448"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16"/>
        <w:gridCol w:w="2562"/>
        <w:gridCol w:w="1890"/>
        <w:gridCol w:w="1890"/>
        <w:gridCol w:w="1890"/>
      </w:tblGrid>
      <w:tr w14:paraId="73FB36D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9C5939">
            <w:pPr>
              <w:pStyle w:val="24"/>
              <w:jc w:val="center"/>
              <w:rPr>
                <w:rFonts w:hint="eastAsia"/>
              </w:rPr>
            </w:pPr>
            <w:r>
              <w:rPr>
                <w:rFonts w:hint="eastAsia"/>
              </w:rPr>
              <w:t>项号</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17C144">
            <w:pPr>
              <w:pStyle w:val="24"/>
              <w:jc w:val="center"/>
              <w:rPr>
                <w:rFonts w:hint="eastAsia"/>
              </w:rPr>
            </w:pPr>
            <w:r>
              <w:rPr>
                <w:rFonts w:hint="eastAsia"/>
              </w:rPr>
              <w:t>货物名称或产品名称</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5E1436">
            <w:pPr>
              <w:pStyle w:val="24"/>
              <w:jc w:val="center"/>
              <w:rPr>
                <w:rFonts w:hint="eastAsia"/>
              </w:rPr>
            </w:pPr>
            <w:r>
              <w:rPr>
                <w:rFonts w:hint="eastAsia"/>
              </w:rPr>
              <w:t>招标文件</w:t>
            </w:r>
          </w:p>
          <w:p w14:paraId="3A3A3289">
            <w:pPr>
              <w:pStyle w:val="24"/>
              <w:jc w:val="center"/>
              <w:rPr>
                <w:rFonts w:hint="eastAsia"/>
              </w:rPr>
            </w:pPr>
            <w:r>
              <w:rPr>
                <w:rFonts w:hint="eastAsia"/>
              </w:rPr>
              <w:t>技术参数要求</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B18038">
            <w:pPr>
              <w:pStyle w:val="24"/>
              <w:jc w:val="center"/>
              <w:rPr>
                <w:rFonts w:hint="eastAsia"/>
              </w:rPr>
            </w:pPr>
            <w:r>
              <w:rPr>
                <w:rFonts w:hint="eastAsia"/>
              </w:rPr>
              <w:t>投标文件</w:t>
            </w:r>
          </w:p>
          <w:p w14:paraId="6590C500">
            <w:pPr>
              <w:pStyle w:val="24"/>
              <w:jc w:val="center"/>
              <w:rPr>
                <w:rFonts w:hint="eastAsia"/>
              </w:rPr>
            </w:pPr>
            <w:r>
              <w:rPr>
                <w:rFonts w:hint="eastAsia"/>
              </w:rPr>
              <w:t>响应技术参数</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E276F9">
            <w:pPr>
              <w:pStyle w:val="24"/>
              <w:jc w:val="center"/>
              <w:rPr>
                <w:rFonts w:hint="eastAsia"/>
              </w:rPr>
            </w:pPr>
            <w:r>
              <w:rPr>
                <w:rFonts w:hint="eastAsia"/>
              </w:rPr>
              <w:t>偏离说明</w:t>
            </w:r>
          </w:p>
        </w:tc>
      </w:tr>
      <w:tr w14:paraId="6D878E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732CF9">
            <w:pPr>
              <w:pStyle w:val="24"/>
              <w:ind w:left="5250"/>
              <w:rPr>
                <w:rFonts w:hint="eastAsia"/>
              </w:rPr>
            </w:pPr>
            <w:r>
              <w:rPr>
                <w:rFonts w:hint="eastAsia"/>
              </w:rPr>
              <w:t> </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910AB8">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5532E0">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8D82C9">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DF1078">
            <w:pPr>
              <w:pStyle w:val="24"/>
              <w:ind w:left="5250"/>
              <w:rPr>
                <w:rFonts w:hint="eastAsia"/>
              </w:rPr>
            </w:pPr>
            <w:r>
              <w:rPr>
                <w:rFonts w:hint="eastAsia"/>
              </w:rPr>
              <w:t> </w:t>
            </w:r>
          </w:p>
        </w:tc>
      </w:tr>
      <w:tr w14:paraId="4C17E0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840BCC">
            <w:pPr>
              <w:pStyle w:val="24"/>
              <w:ind w:left="5250"/>
              <w:rPr>
                <w:rFonts w:hint="eastAsia"/>
              </w:rPr>
            </w:pPr>
            <w:r>
              <w:rPr>
                <w:rFonts w:hint="eastAsia"/>
              </w:rPr>
              <w:t> </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C54CFA">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426F1AE">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127868">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A1D93E">
            <w:pPr>
              <w:pStyle w:val="24"/>
              <w:ind w:left="5250"/>
              <w:rPr>
                <w:rFonts w:hint="eastAsia"/>
              </w:rPr>
            </w:pPr>
            <w:r>
              <w:rPr>
                <w:rFonts w:hint="eastAsia"/>
              </w:rPr>
              <w:t> </w:t>
            </w:r>
          </w:p>
        </w:tc>
      </w:tr>
      <w:tr w14:paraId="1F2DBF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B0BE165">
            <w:pPr>
              <w:pStyle w:val="24"/>
              <w:ind w:left="5250"/>
              <w:rPr>
                <w:rFonts w:hint="eastAsia"/>
              </w:rPr>
            </w:pPr>
            <w:r>
              <w:rPr>
                <w:rFonts w:hint="eastAsia"/>
              </w:rPr>
              <w:t> </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D2AC32">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24BF1A">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EC4001E">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45572B">
            <w:pPr>
              <w:pStyle w:val="24"/>
              <w:ind w:left="5250"/>
              <w:rPr>
                <w:rFonts w:hint="eastAsia"/>
              </w:rPr>
            </w:pPr>
            <w:r>
              <w:rPr>
                <w:rFonts w:hint="eastAsia"/>
              </w:rPr>
              <w:t> </w:t>
            </w:r>
          </w:p>
        </w:tc>
      </w:tr>
      <w:tr w14:paraId="6139AF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71291">
            <w:pPr>
              <w:pStyle w:val="24"/>
              <w:ind w:left="5250"/>
              <w:rPr>
                <w:rFonts w:hint="eastAsia"/>
              </w:rPr>
            </w:pPr>
            <w:r>
              <w:rPr>
                <w:rFonts w:hint="eastAsia"/>
              </w:rPr>
              <w:t> </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00B08">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2942141">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CC6AF2">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2F7F76">
            <w:pPr>
              <w:pStyle w:val="24"/>
              <w:ind w:left="5250"/>
              <w:rPr>
                <w:rFonts w:hint="eastAsia"/>
              </w:rPr>
            </w:pPr>
            <w:r>
              <w:rPr>
                <w:rFonts w:hint="eastAsia"/>
              </w:rPr>
              <w:t> </w:t>
            </w:r>
          </w:p>
        </w:tc>
      </w:tr>
      <w:tr w14:paraId="319FF3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1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0F4DD1">
            <w:pPr>
              <w:pStyle w:val="24"/>
              <w:ind w:left="5250"/>
              <w:rPr>
                <w:rFonts w:hint="eastAsia"/>
              </w:rPr>
            </w:pPr>
            <w:r>
              <w:rPr>
                <w:rFonts w:hint="eastAsia"/>
              </w:rPr>
              <w:t> </w:t>
            </w:r>
          </w:p>
        </w:tc>
        <w:tc>
          <w:tcPr>
            <w:tcW w:w="2562"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293639">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1206BD">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97F49">
            <w:pPr>
              <w:pStyle w:val="24"/>
              <w:ind w:left="5250"/>
              <w:rPr>
                <w:rFonts w:hint="eastAsia"/>
              </w:rPr>
            </w:pPr>
            <w:r>
              <w:rPr>
                <w:rFonts w:hint="eastAsia"/>
              </w:rPr>
              <w:t> </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B512D4">
            <w:pPr>
              <w:pStyle w:val="24"/>
              <w:ind w:left="5250"/>
              <w:rPr>
                <w:rFonts w:hint="eastAsia"/>
              </w:rPr>
            </w:pPr>
            <w:r>
              <w:rPr>
                <w:rFonts w:hint="eastAsia"/>
              </w:rPr>
              <w:t> </w:t>
            </w:r>
          </w:p>
        </w:tc>
      </w:tr>
    </w:tbl>
    <w:p w14:paraId="604D874F">
      <w:pPr>
        <w:snapToGrid w:val="0"/>
        <w:spacing w:before="50" w:line="400" w:lineRule="exact"/>
        <w:jc w:val="left"/>
        <w:rPr>
          <w:rFonts w:hint="eastAsia" w:ascii="宋体" w:hAnsi="宋体" w:cs="宋体"/>
          <w:sz w:val="24"/>
        </w:rPr>
      </w:pPr>
    </w:p>
    <w:p w14:paraId="194CCDAC">
      <w:pPr>
        <w:snapToGrid w:val="0"/>
        <w:spacing w:before="50" w:line="400" w:lineRule="exact"/>
        <w:jc w:val="left"/>
        <w:rPr>
          <w:rFonts w:hint="eastAsia" w:ascii="宋体" w:hAnsi="宋体" w:cs="宋体"/>
          <w:b/>
          <w:sz w:val="24"/>
        </w:rPr>
      </w:pPr>
    </w:p>
    <w:p w14:paraId="327B0F82">
      <w:pPr>
        <w:pStyle w:val="11"/>
        <w:spacing w:line="360" w:lineRule="exact"/>
        <w:ind w:firstLine="482" w:firstLineChars="200"/>
        <w:rPr>
          <w:rFonts w:hint="eastAsia" w:hAnsi="宋体" w:cs="宋体"/>
          <w:b/>
          <w:bCs/>
          <w:sz w:val="24"/>
        </w:rPr>
      </w:pPr>
      <w:r>
        <w:rPr>
          <w:rFonts w:hint="eastAsia" w:hAnsi="宋体" w:cs="宋体"/>
          <w:b/>
          <w:bCs/>
          <w:kern w:val="0"/>
          <w:sz w:val="24"/>
        </w:rPr>
        <w:t>注：1.</w:t>
      </w:r>
      <w:r>
        <w:rPr>
          <w:rFonts w:hint="eastAsia" w:hAnsi="宋体" w:cs="宋体"/>
          <w:b/>
          <w:sz w:val="24"/>
        </w:rPr>
        <w:t>此项材料必须</w:t>
      </w:r>
      <w:r>
        <w:rPr>
          <w:rFonts w:hint="eastAsia" w:hAnsi="宋体" w:cs="宋体"/>
          <w:b/>
          <w:bCs/>
          <w:sz w:val="24"/>
        </w:rPr>
        <w:t>以PDF格式上传。</w:t>
      </w:r>
    </w:p>
    <w:p w14:paraId="360EC7C4">
      <w:pPr>
        <w:pStyle w:val="11"/>
        <w:spacing w:line="360" w:lineRule="exact"/>
        <w:ind w:firstLine="482" w:firstLineChars="200"/>
        <w:rPr>
          <w:rFonts w:hint="eastAsia" w:hAnsi="宋体" w:cs="宋体"/>
          <w:b/>
          <w:sz w:val="24"/>
        </w:rPr>
      </w:pPr>
      <w:r>
        <w:rPr>
          <w:rFonts w:hint="eastAsia" w:hAnsi="宋体" w:cs="宋体"/>
          <w:b/>
          <w:sz w:val="24"/>
        </w:rPr>
        <w:t>2.投标人应根据投标货物的性能指标、对照招标文件要求在技术响应表中详细列明招标要求及投标货物技术规格的响应情况，并填写“偏离说明”。“偏离说明”栏注明“正偏离”、“负偏离”或“无偏离”。投标技术规格与招标要求相同的为无偏离，投标技术规格高于招标要求的为正偏离，低于招标要求的为负偏离；</w:t>
      </w:r>
    </w:p>
    <w:p w14:paraId="7012865D">
      <w:pPr>
        <w:pStyle w:val="11"/>
        <w:spacing w:line="360" w:lineRule="exact"/>
        <w:ind w:firstLine="482" w:firstLineChars="200"/>
        <w:rPr>
          <w:rFonts w:hint="eastAsia" w:hAnsi="宋体" w:cs="宋体"/>
          <w:b/>
          <w:sz w:val="24"/>
        </w:rPr>
      </w:pPr>
      <w:r>
        <w:rPr>
          <w:rFonts w:hint="eastAsia" w:hAnsi="宋体" w:cs="宋体"/>
          <w:b/>
          <w:sz w:val="24"/>
        </w:rPr>
        <w:t>3.投标人就标记“▲”符号的实质性响应内容发生负偏离一项以上的，视为投标无效。</w:t>
      </w:r>
    </w:p>
    <w:p w14:paraId="11B987A9">
      <w:pPr>
        <w:pStyle w:val="11"/>
        <w:spacing w:line="360" w:lineRule="exact"/>
        <w:ind w:firstLine="422" w:firstLineChars="200"/>
        <w:rPr>
          <w:rFonts w:hint="eastAsia" w:hAnsi="宋体" w:cs="宋体"/>
        </w:rPr>
      </w:pPr>
      <w:r>
        <w:rPr>
          <w:rFonts w:hint="eastAsia" w:hAnsi="宋体" w:cs="宋体"/>
          <w:b/>
          <w:bCs/>
        </w:rPr>
        <w:t> </w:t>
      </w:r>
    </w:p>
    <w:p w14:paraId="15962B33">
      <w:pPr>
        <w:snapToGrid w:val="0"/>
        <w:spacing w:before="50" w:line="400" w:lineRule="exact"/>
        <w:jc w:val="left"/>
        <w:rPr>
          <w:rFonts w:hint="eastAsia" w:ascii="宋体" w:hAnsi="宋体" w:cs="宋体"/>
          <w:b/>
          <w:sz w:val="24"/>
        </w:rPr>
      </w:pPr>
    </w:p>
    <w:p w14:paraId="3D03FDF9">
      <w:pPr>
        <w:snapToGrid w:val="0"/>
        <w:spacing w:before="50" w:line="400" w:lineRule="exact"/>
        <w:jc w:val="left"/>
        <w:rPr>
          <w:rFonts w:hint="eastAsia" w:ascii="宋体" w:hAnsi="宋体" w:cs="宋体"/>
          <w:b/>
          <w:sz w:val="24"/>
        </w:rPr>
      </w:pPr>
    </w:p>
    <w:p w14:paraId="5D330702">
      <w:pPr>
        <w:spacing w:line="400" w:lineRule="exact"/>
        <w:ind w:firstLine="5160" w:firstLineChars="2150"/>
        <w:rPr>
          <w:rFonts w:hint="eastAsia" w:ascii="宋体" w:hAnsi="宋体" w:cs="宋体"/>
          <w:sz w:val="24"/>
        </w:rPr>
      </w:pPr>
      <w:r>
        <w:rPr>
          <w:rFonts w:hint="eastAsia" w:ascii="宋体" w:hAnsi="宋体" w:cs="宋体"/>
          <w:sz w:val="24"/>
        </w:rPr>
        <w:t>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09A0B17F">
      <w:pPr>
        <w:snapToGrid w:val="0"/>
        <w:spacing w:before="50" w:line="400" w:lineRule="exact"/>
        <w:jc w:val="right"/>
        <w:rPr>
          <w:rFonts w:hint="eastAsia" w:ascii="宋体" w:hAnsi="宋体" w:cs="宋体"/>
          <w:sz w:val="24"/>
        </w:rPr>
      </w:pPr>
    </w:p>
    <w:p w14:paraId="74C5F979">
      <w:pPr>
        <w:snapToGrid w:val="0"/>
        <w:spacing w:before="50" w:line="400" w:lineRule="exact"/>
        <w:jc w:val="right"/>
        <w:rPr>
          <w:rFonts w:hint="eastAsia" w:ascii="宋体" w:hAnsi="宋体" w:cs="宋体"/>
          <w:sz w:val="24"/>
        </w:rPr>
      </w:pPr>
      <w:r>
        <w:rPr>
          <w:rFonts w:hint="eastAsia" w:ascii="宋体" w:hAnsi="宋体" w:cs="宋体"/>
          <w:sz w:val="24"/>
        </w:rPr>
        <w:t>日期：     年     月    日</w:t>
      </w:r>
    </w:p>
    <w:p w14:paraId="6A009AD4">
      <w:pPr>
        <w:snapToGrid w:val="0"/>
        <w:spacing w:before="50" w:line="400" w:lineRule="exact"/>
        <w:jc w:val="left"/>
        <w:rPr>
          <w:rFonts w:hint="eastAsia" w:ascii="宋体" w:hAnsi="宋体" w:cs="宋体"/>
          <w:b/>
          <w:sz w:val="24"/>
        </w:rPr>
      </w:pPr>
      <w:r>
        <w:rPr>
          <w:rFonts w:hint="eastAsia" w:ascii="宋体" w:hAnsi="宋体" w:cs="宋体"/>
          <w:b/>
          <w:sz w:val="24"/>
        </w:rPr>
        <w:br w:type="page"/>
      </w:r>
      <w:r>
        <w:rPr>
          <w:rFonts w:hint="eastAsia" w:ascii="宋体" w:hAnsi="宋体" w:cs="宋体"/>
          <w:b/>
          <w:bCs/>
          <w:sz w:val="24"/>
        </w:rPr>
        <w:t xml:space="preserve"> （3）</w:t>
      </w:r>
      <w:r>
        <w:rPr>
          <w:rFonts w:hint="eastAsia" w:ascii="宋体" w:hAnsi="宋体" w:cs="宋体"/>
          <w:b/>
          <w:sz w:val="24"/>
        </w:rPr>
        <w:t>商务响应表格式（必须提供）：</w:t>
      </w:r>
    </w:p>
    <w:p w14:paraId="3440AB3B">
      <w:pPr>
        <w:snapToGrid w:val="0"/>
        <w:spacing w:before="50" w:line="300" w:lineRule="exact"/>
        <w:ind w:firstLine="643" w:firstLineChars="200"/>
        <w:jc w:val="center"/>
        <w:rPr>
          <w:rFonts w:hint="eastAsia" w:ascii="宋体" w:hAnsi="宋体" w:cs="宋体"/>
          <w:b/>
          <w:sz w:val="24"/>
        </w:rPr>
      </w:pPr>
      <w:r>
        <w:rPr>
          <w:rFonts w:hint="eastAsia" w:ascii="宋体" w:hAnsi="宋体" w:cs="宋体"/>
          <w:b/>
          <w:sz w:val="32"/>
          <w:szCs w:val="32"/>
        </w:rPr>
        <w:t>商务响应表</w:t>
      </w:r>
    </w:p>
    <w:tbl>
      <w:tblPr>
        <w:tblStyle w:val="17"/>
        <w:tblW w:w="86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2360"/>
        <w:gridCol w:w="1259"/>
        <w:gridCol w:w="3018"/>
      </w:tblGrid>
      <w:tr w14:paraId="43F8F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2FF5C5B6">
            <w:pPr>
              <w:snapToGrid w:val="0"/>
              <w:spacing w:before="120" w:beforeLines="50"/>
              <w:jc w:val="center"/>
              <w:rPr>
                <w:rFonts w:hint="eastAsia" w:ascii="宋体" w:hAnsi="宋体" w:cs="宋体"/>
                <w:sz w:val="24"/>
              </w:rPr>
            </w:pPr>
            <w:r>
              <w:rPr>
                <w:rFonts w:hint="eastAsia" w:ascii="宋体" w:hAnsi="宋体" w:cs="宋体"/>
                <w:sz w:val="24"/>
              </w:rPr>
              <w:t>项目</w:t>
            </w:r>
          </w:p>
        </w:tc>
        <w:tc>
          <w:tcPr>
            <w:tcW w:w="2360" w:type="dxa"/>
            <w:tcBorders>
              <w:top w:val="single" w:color="auto" w:sz="4" w:space="0"/>
              <w:left w:val="single" w:color="auto" w:sz="4" w:space="0"/>
              <w:bottom w:val="single" w:color="auto" w:sz="4" w:space="0"/>
              <w:right w:val="single" w:color="auto" w:sz="4" w:space="0"/>
            </w:tcBorders>
            <w:vAlign w:val="center"/>
          </w:tcPr>
          <w:p w14:paraId="02AE9157">
            <w:pPr>
              <w:snapToGrid w:val="0"/>
              <w:spacing w:before="120" w:beforeLines="50"/>
              <w:jc w:val="center"/>
              <w:rPr>
                <w:rFonts w:hint="eastAsia" w:ascii="宋体" w:hAnsi="宋体" w:cs="宋体"/>
                <w:sz w:val="24"/>
              </w:rPr>
            </w:pPr>
            <w:r>
              <w:rPr>
                <w:rFonts w:hint="eastAsia" w:ascii="宋体" w:hAnsi="宋体" w:cs="宋体"/>
                <w:sz w:val="24"/>
              </w:rPr>
              <w:t>招标文件要求</w:t>
            </w:r>
          </w:p>
        </w:tc>
        <w:tc>
          <w:tcPr>
            <w:tcW w:w="1259" w:type="dxa"/>
            <w:tcBorders>
              <w:top w:val="single" w:color="auto" w:sz="4" w:space="0"/>
              <w:left w:val="single" w:color="auto" w:sz="4" w:space="0"/>
              <w:bottom w:val="single" w:color="auto" w:sz="4" w:space="0"/>
              <w:right w:val="single" w:color="auto" w:sz="4" w:space="0"/>
            </w:tcBorders>
            <w:vAlign w:val="center"/>
          </w:tcPr>
          <w:p w14:paraId="7E0A6F3F">
            <w:pPr>
              <w:snapToGrid w:val="0"/>
              <w:spacing w:before="120" w:beforeLines="50"/>
              <w:jc w:val="center"/>
              <w:rPr>
                <w:rFonts w:hint="eastAsia" w:ascii="宋体" w:hAnsi="宋体" w:cs="宋体"/>
                <w:sz w:val="24"/>
              </w:rPr>
            </w:pPr>
            <w:r>
              <w:rPr>
                <w:rFonts w:hint="eastAsia" w:ascii="宋体" w:hAnsi="宋体" w:cs="宋体"/>
                <w:sz w:val="24"/>
              </w:rPr>
              <w:t>偏离说明</w:t>
            </w:r>
          </w:p>
        </w:tc>
        <w:tc>
          <w:tcPr>
            <w:tcW w:w="3018" w:type="dxa"/>
            <w:tcBorders>
              <w:top w:val="single" w:color="auto" w:sz="4" w:space="0"/>
              <w:left w:val="single" w:color="auto" w:sz="4" w:space="0"/>
              <w:bottom w:val="single" w:color="auto" w:sz="4" w:space="0"/>
              <w:right w:val="single" w:color="auto" w:sz="4" w:space="0"/>
            </w:tcBorders>
            <w:vAlign w:val="center"/>
          </w:tcPr>
          <w:p w14:paraId="715AD060">
            <w:pPr>
              <w:snapToGrid w:val="0"/>
              <w:spacing w:before="120" w:beforeLines="50"/>
              <w:jc w:val="center"/>
              <w:rPr>
                <w:rFonts w:hint="eastAsia" w:ascii="宋体" w:hAnsi="宋体" w:cs="宋体"/>
                <w:sz w:val="24"/>
              </w:rPr>
            </w:pPr>
            <w:r>
              <w:rPr>
                <w:rFonts w:hint="eastAsia" w:ascii="宋体" w:hAnsi="宋体" w:cs="宋体"/>
                <w:sz w:val="24"/>
              </w:rPr>
              <w:t>投标人的承诺或说明</w:t>
            </w:r>
          </w:p>
        </w:tc>
      </w:tr>
      <w:tr w14:paraId="047145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4194CC60">
            <w:pPr>
              <w:snapToGrid w:val="0"/>
              <w:spacing w:before="120" w:beforeLines="50"/>
              <w:jc w:val="left"/>
              <w:rPr>
                <w:rFonts w:hint="eastAsia" w:ascii="宋体" w:hAnsi="宋体" w:cs="宋体"/>
                <w:sz w:val="24"/>
              </w:rPr>
            </w:pPr>
            <w:r>
              <w:rPr>
                <w:rFonts w:hint="eastAsia" w:ascii="宋体" w:hAnsi="宋体" w:cs="宋体"/>
                <w:b/>
                <w:bCs/>
                <w:sz w:val="24"/>
              </w:rPr>
              <w:t>二、商务要求</w:t>
            </w:r>
          </w:p>
        </w:tc>
      </w:tr>
      <w:tr w14:paraId="5CF9B5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8883722">
            <w:pPr>
              <w:snapToGrid w:val="0"/>
              <w:spacing w:before="120" w:beforeLines="50"/>
              <w:jc w:val="center"/>
              <w:rPr>
                <w:rFonts w:hint="eastAsia" w:ascii="宋体" w:hAnsi="宋体" w:cs="宋体"/>
                <w:sz w:val="24"/>
              </w:rPr>
            </w:pPr>
            <w:r>
              <w:rPr>
                <w:rFonts w:hint="eastAsia" w:ascii="宋体" w:hAnsi="宋体" w:cs="宋体"/>
                <w:sz w:val="24"/>
              </w:rPr>
              <w:t>基本要求</w:t>
            </w:r>
          </w:p>
        </w:tc>
        <w:tc>
          <w:tcPr>
            <w:tcW w:w="2360" w:type="dxa"/>
            <w:tcBorders>
              <w:top w:val="single" w:color="auto" w:sz="4" w:space="0"/>
              <w:left w:val="single" w:color="auto" w:sz="4" w:space="0"/>
              <w:bottom w:val="single" w:color="auto" w:sz="4" w:space="0"/>
              <w:right w:val="single" w:color="auto" w:sz="4" w:space="0"/>
            </w:tcBorders>
            <w:vAlign w:val="center"/>
          </w:tcPr>
          <w:p w14:paraId="6CB7D570">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3840B78">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5BB8D614">
            <w:pPr>
              <w:snapToGrid w:val="0"/>
              <w:spacing w:before="120" w:beforeLines="50"/>
              <w:jc w:val="center"/>
              <w:rPr>
                <w:rFonts w:hint="eastAsia" w:ascii="宋体" w:hAnsi="宋体" w:cs="宋体"/>
                <w:sz w:val="24"/>
              </w:rPr>
            </w:pPr>
          </w:p>
        </w:tc>
      </w:tr>
      <w:tr w14:paraId="0F7A4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72A7649E">
            <w:pPr>
              <w:snapToGrid w:val="0"/>
              <w:spacing w:before="120" w:beforeLines="50"/>
              <w:jc w:val="center"/>
              <w:rPr>
                <w:rFonts w:hint="eastAsia" w:ascii="宋体" w:hAnsi="宋体" w:cs="宋体"/>
                <w:sz w:val="24"/>
              </w:rPr>
            </w:pPr>
            <w:r>
              <w:rPr>
                <w:rFonts w:hint="eastAsia" w:ascii="宋体" w:hAnsi="宋体" w:cs="宋体"/>
                <w:sz w:val="24"/>
              </w:rPr>
              <w:t>售后服务以及其他要求</w:t>
            </w:r>
          </w:p>
        </w:tc>
        <w:tc>
          <w:tcPr>
            <w:tcW w:w="2360" w:type="dxa"/>
            <w:tcBorders>
              <w:top w:val="single" w:color="auto" w:sz="4" w:space="0"/>
              <w:left w:val="single" w:color="auto" w:sz="4" w:space="0"/>
              <w:bottom w:val="single" w:color="auto" w:sz="4" w:space="0"/>
              <w:right w:val="single" w:color="auto" w:sz="4" w:space="0"/>
            </w:tcBorders>
            <w:vAlign w:val="center"/>
          </w:tcPr>
          <w:p w14:paraId="1ACBFE3B">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EE4E897">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EBBA373">
            <w:pPr>
              <w:snapToGrid w:val="0"/>
              <w:spacing w:before="120" w:beforeLines="50"/>
              <w:jc w:val="center"/>
              <w:rPr>
                <w:rFonts w:hint="eastAsia" w:ascii="宋体" w:hAnsi="宋体" w:cs="宋体"/>
                <w:sz w:val="24"/>
              </w:rPr>
            </w:pPr>
          </w:p>
        </w:tc>
      </w:tr>
      <w:tr w14:paraId="6C06B6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62195839">
            <w:pPr>
              <w:snapToGrid w:val="0"/>
              <w:spacing w:before="120" w:beforeLines="50"/>
              <w:jc w:val="center"/>
              <w:rPr>
                <w:rFonts w:hint="eastAsia" w:ascii="宋体" w:hAnsi="宋体" w:cs="宋体"/>
                <w:sz w:val="24"/>
              </w:rPr>
            </w:pPr>
            <w:r>
              <w:rPr>
                <w:rFonts w:hint="eastAsia" w:ascii="宋体" w:hAnsi="宋体" w:cs="宋体"/>
                <w:sz w:val="24"/>
              </w:rPr>
              <w:t>交货时间及地点</w:t>
            </w:r>
          </w:p>
        </w:tc>
        <w:tc>
          <w:tcPr>
            <w:tcW w:w="2360" w:type="dxa"/>
            <w:tcBorders>
              <w:top w:val="single" w:color="auto" w:sz="4" w:space="0"/>
              <w:left w:val="single" w:color="auto" w:sz="4" w:space="0"/>
              <w:bottom w:val="single" w:color="auto" w:sz="4" w:space="0"/>
              <w:right w:val="single" w:color="auto" w:sz="4" w:space="0"/>
            </w:tcBorders>
            <w:vAlign w:val="center"/>
          </w:tcPr>
          <w:p w14:paraId="015A7487">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06350F27">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C92EFCF">
            <w:pPr>
              <w:snapToGrid w:val="0"/>
              <w:spacing w:before="120" w:beforeLines="50"/>
              <w:jc w:val="center"/>
              <w:rPr>
                <w:rFonts w:hint="eastAsia" w:ascii="宋体" w:hAnsi="宋体" w:cs="宋体"/>
                <w:sz w:val="24"/>
              </w:rPr>
            </w:pPr>
          </w:p>
        </w:tc>
      </w:tr>
      <w:tr w14:paraId="24E9A5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89C7541">
            <w:pPr>
              <w:snapToGrid w:val="0"/>
              <w:spacing w:before="120" w:beforeLines="50"/>
              <w:jc w:val="center"/>
              <w:rPr>
                <w:rFonts w:hint="eastAsia" w:ascii="宋体" w:hAnsi="宋体" w:cs="宋体"/>
                <w:sz w:val="24"/>
              </w:rPr>
            </w:pPr>
            <w:r>
              <w:rPr>
                <w:rFonts w:hint="eastAsia" w:ascii="宋体" w:hAnsi="宋体" w:cs="宋体"/>
                <w:sz w:val="24"/>
              </w:rPr>
              <w:t>付款方式</w:t>
            </w:r>
          </w:p>
        </w:tc>
        <w:tc>
          <w:tcPr>
            <w:tcW w:w="2360" w:type="dxa"/>
            <w:tcBorders>
              <w:top w:val="single" w:color="auto" w:sz="4" w:space="0"/>
              <w:left w:val="single" w:color="auto" w:sz="4" w:space="0"/>
              <w:bottom w:val="single" w:color="auto" w:sz="4" w:space="0"/>
              <w:right w:val="single" w:color="auto" w:sz="4" w:space="0"/>
            </w:tcBorders>
            <w:vAlign w:val="center"/>
          </w:tcPr>
          <w:p w14:paraId="054B1250">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C0A366B">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ED678EC">
            <w:pPr>
              <w:snapToGrid w:val="0"/>
              <w:spacing w:before="120" w:beforeLines="50"/>
              <w:jc w:val="center"/>
              <w:rPr>
                <w:rFonts w:hint="eastAsia" w:ascii="宋体" w:hAnsi="宋体" w:cs="宋体"/>
                <w:sz w:val="24"/>
              </w:rPr>
            </w:pPr>
          </w:p>
        </w:tc>
      </w:tr>
      <w:tr w14:paraId="5D796A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3274F525">
            <w:pPr>
              <w:snapToGrid w:val="0"/>
              <w:spacing w:before="120" w:beforeLines="50"/>
              <w:jc w:val="center"/>
              <w:rPr>
                <w:rFonts w:hint="eastAsia" w:ascii="宋体" w:hAnsi="宋体" w:cs="宋体"/>
                <w:sz w:val="24"/>
              </w:rPr>
            </w:pPr>
            <w:r>
              <w:rPr>
                <w:rFonts w:hint="eastAsia" w:ascii="宋体" w:hAnsi="宋体" w:cs="宋体"/>
                <w:sz w:val="24"/>
              </w:rPr>
              <w:t>履约保证金</w:t>
            </w:r>
          </w:p>
        </w:tc>
        <w:tc>
          <w:tcPr>
            <w:tcW w:w="2360" w:type="dxa"/>
            <w:tcBorders>
              <w:top w:val="single" w:color="auto" w:sz="4" w:space="0"/>
              <w:left w:val="single" w:color="auto" w:sz="4" w:space="0"/>
              <w:bottom w:val="single" w:color="auto" w:sz="4" w:space="0"/>
              <w:right w:val="single" w:color="auto" w:sz="4" w:space="0"/>
            </w:tcBorders>
            <w:vAlign w:val="center"/>
          </w:tcPr>
          <w:p w14:paraId="4BED5A11">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BA51EE8">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89F973A">
            <w:pPr>
              <w:snapToGrid w:val="0"/>
              <w:spacing w:before="120" w:beforeLines="50"/>
              <w:jc w:val="center"/>
              <w:rPr>
                <w:rFonts w:hint="eastAsia" w:ascii="宋体" w:hAnsi="宋体" w:cs="宋体"/>
                <w:sz w:val="24"/>
              </w:rPr>
            </w:pPr>
          </w:p>
        </w:tc>
      </w:tr>
      <w:tr w14:paraId="51530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5E86614">
            <w:pPr>
              <w:snapToGrid w:val="0"/>
              <w:spacing w:before="120" w:beforeLines="50"/>
              <w:jc w:val="center"/>
              <w:rPr>
                <w:rFonts w:hint="eastAsia" w:ascii="宋体" w:hAnsi="宋体" w:cs="宋体"/>
                <w:sz w:val="24"/>
              </w:rPr>
            </w:pPr>
            <w:r>
              <w:rPr>
                <w:rFonts w:hint="eastAsia" w:ascii="宋体" w:hAnsi="宋体" w:cs="宋体"/>
                <w:sz w:val="24"/>
              </w:rPr>
              <w:t>备品备件及耗材等要求</w:t>
            </w:r>
          </w:p>
        </w:tc>
        <w:tc>
          <w:tcPr>
            <w:tcW w:w="2360" w:type="dxa"/>
            <w:tcBorders>
              <w:top w:val="single" w:color="auto" w:sz="4" w:space="0"/>
              <w:left w:val="single" w:color="auto" w:sz="4" w:space="0"/>
              <w:bottom w:val="single" w:color="auto" w:sz="4" w:space="0"/>
              <w:right w:val="single" w:color="auto" w:sz="4" w:space="0"/>
            </w:tcBorders>
            <w:vAlign w:val="center"/>
          </w:tcPr>
          <w:p w14:paraId="0FA0BFB2">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24E6CC82">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45405D96">
            <w:pPr>
              <w:snapToGrid w:val="0"/>
              <w:spacing w:before="120" w:beforeLines="50"/>
              <w:jc w:val="center"/>
              <w:rPr>
                <w:rFonts w:hint="eastAsia" w:ascii="宋体" w:hAnsi="宋体" w:cs="宋体"/>
                <w:sz w:val="24"/>
              </w:rPr>
            </w:pPr>
          </w:p>
        </w:tc>
      </w:tr>
      <w:tr w14:paraId="2C4644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7A1254A5">
            <w:pPr>
              <w:snapToGrid w:val="0"/>
              <w:spacing w:before="120" w:beforeLines="50"/>
              <w:jc w:val="left"/>
              <w:rPr>
                <w:rFonts w:hint="eastAsia" w:ascii="宋体" w:hAnsi="宋体" w:cs="宋体"/>
                <w:sz w:val="24"/>
              </w:rPr>
            </w:pPr>
            <w:r>
              <w:rPr>
                <w:rFonts w:hint="eastAsia" w:ascii="宋体" w:hAnsi="宋体" w:cs="宋体"/>
                <w:b/>
                <w:bCs/>
                <w:sz w:val="24"/>
              </w:rPr>
              <w:t>三、验收要求</w:t>
            </w:r>
          </w:p>
        </w:tc>
      </w:tr>
      <w:tr w14:paraId="7A8AB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B3B8A4">
            <w:pPr>
              <w:snapToGrid w:val="0"/>
              <w:spacing w:before="120" w:beforeLines="50"/>
              <w:jc w:val="center"/>
              <w:rPr>
                <w:rFonts w:hint="eastAsia" w:ascii="宋体" w:hAnsi="宋体" w:cs="宋体"/>
                <w:bCs/>
                <w:sz w:val="24"/>
              </w:rPr>
            </w:pPr>
            <w:r>
              <w:rPr>
                <w:rFonts w:hint="eastAsia" w:ascii="宋体" w:hAnsi="宋体" w:cs="宋体"/>
                <w:sz w:val="24"/>
              </w:rPr>
              <w:t>验收标准及要求</w:t>
            </w:r>
          </w:p>
        </w:tc>
        <w:tc>
          <w:tcPr>
            <w:tcW w:w="2360" w:type="dxa"/>
            <w:tcBorders>
              <w:top w:val="single" w:color="auto" w:sz="4" w:space="0"/>
              <w:left w:val="single" w:color="auto" w:sz="4" w:space="0"/>
              <w:bottom w:val="single" w:color="auto" w:sz="4" w:space="0"/>
              <w:right w:val="single" w:color="auto" w:sz="4" w:space="0"/>
            </w:tcBorders>
            <w:vAlign w:val="center"/>
          </w:tcPr>
          <w:p w14:paraId="6FBF2A11">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13BDBAC0">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0B212DE">
            <w:pPr>
              <w:snapToGrid w:val="0"/>
              <w:spacing w:before="120" w:beforeLines="50"/>
              <w:jc w:val="center"/>
              <w:rPr>
                <w:rFonts w:hint="eastAsia" w:ascii="宋体" w:hAnsi="宋体" w:cs="宋体"/>
                <w:sz w:val="24"/>
              </w:rPr>
            </w:pPr>
          </w:p>
        </w:tc>
      </w:tr>
      <w:tr w14:paraId="6BA2B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683" w:type="dxa"/>
            <w:gridSpan w:val="4"/>
            <w:tcBorders>
              <w:top w:val="single" w:color="auto" w:sz="4" w:space="0"/>
              <w:left w:val="single" w:color="auto" w:sz="4" w:space="0"/>
              <w:bottom w:val="single" w:color="auto" w:sz="4" w:space="0"/>
              <w:right w:val="single" w:color="auto" w:sz="4" w:space="0"/>
            </w:tcBorders>
            <w:vAlign w:val="center"/>
          </w:tcPr>
          <w:p w14:paraId="363D6043">
            <w:pPr>
              <w:snapToGrid w:val="0"/>
              <w:spacing w:before="120" w:beforeLines="50"/>
              <w:jc w:val="left"/>
              <w:rPr>
                <w:rFonts w:hint="eastAsia" w:ascii="宋体" w:hAnsi="宋体" w:cs="宋体"/>
                <w:sz w:val="24"/>
              </w:rPr>
            </w:pPr>
            <w:r>
              <w:rPr>
                <w:rFonts w:hint="eastAsia" w:ascii="宋体" w:hAnsi="宋体" w:cs="宋体"/>
                <w:b/>
                <w:bCs/>
                <w:sz w:val="24"/>
              </w:rPr>
              <w:t>四、资信要求</w:t>
            </w:r>
          </w:p>
        </w:tc>
      </w:tr>
      <w:tr w14:paraId="78A93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C8C7E8E">
            <w:pPr>
              <w:snapToGrid w:val="0"/>
              <w:spacing w:before="120" w:beforeLines="50"/>
              <w:jc w:val="center"/>
              <w:rPr>
                <w:rFonts w:hint="eastAsia" w:ascii="宋体" w:hAnsi="宋体" w:cs="宋体"/>
                <w:bCs/>
                <w:sz w:val="24"/>
              </w:rPr>
            </w:pPr>
            <w:r>
              <w:rPr>
                <w:rFonts w:hint="eastAsia" w:ascii="宋体" w:hAnsi="宋体" w:cs="宋体"/>
                <w:sz w:val="24"/>
              </w:rPr>
              <w:t>政策性加分条件（如有）</w:t>
            </w:r>
          </w:p>
        </w:tc>
        <w:tc>
          <w:tcPr>
            <w:tcW w:w="2360" w:type="dxa"/>
            <w:tcBorders>
              <w:top w:val="single" w:color="auto" w:sz="4" w:space="0"/>
              <w:left w:val="single" w:color="auto" w:sz="4" w:space="0"/>
              <w:bottom w:val="single" w:color="auto" w:sz="4" w:space="0"/>
              <w:right w:val="single" w:color="auto" w:sz="4" w:space="0"/>
            </w:tcBorders>
            <w:vAlign w:val="center"/>
          </w:tcPr>
          <w:p w14:paraId="14E00433">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710DE09B">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3C6E9079">
            <w:pPr>
              <w:snapToGrid w:val="0"/>
              <w:spacing w:before="120" w:beforeLines="50"/>
              <w:jc w:val="center"/>
              <w:rPr>
                <w:rFonts w:hint="eastAsia" w:ascii="宋体" w:hAnsi="宋体" w:cs="宋体"/>
                <w:sz w:val="24"/>
              </w:rPr>
            </w:pPr>
          </w:p>
        </w:tc>
      </w:tr>
      <w:tr w14:paraId="75C33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0EA30741">
            <w:pPr>
              <w:snapToGrid w:val="0"/>
              <w:spacing w:before="120" w:beforeLines="50"/>
              <w:jc w:val="center"/>
              <w:rPr>
                <w:rFonts w:hint="eastAsia" w:ascii="宋体" w:hAnsi="宋体" w:cs="宋体"/>
                <w:bCs/>
                <w:sz w:val="24"/>
              </w:rPr>
            </w:pPr>
            <w:r>
              <w:rPr>
                <w:rFonts w:hint="eastAsia" w:ascii="宋体" w:hAnsi="宋体" w:cs="宋体"/>
                <w:sz w:val="24"/>
              </w:rPr>
              <w:t xml:space="preserve">质量管理、企业信用要求（如有） </w:t>
            </w:r>
          </w:p>
        </w:tc>
        <w:tc>
          <w:tcPr>
            <w:tcW w:w="2360" w:type="dxa"/>
            <w:tcBorders>
              <w:top w:val="single" w:color="auto" w:sz="4" w:space="0"/>
              <w:left w:val="single" w:color="auto" w:sz="4" w:space="0"/>
              <w:bottom w:val="single" w:color="auto" w:sz="4" w:space="0"/>
              <w:right w:val="single" w:color="auto" w:sz="4" w:space="0"/>
            </w:tcBorders>
            <w:vAlign w:val="center"/>
          </w:tcPr>
          <w:p w14:paraId="1F5A06E2">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5BC6BD67">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725D062F">
            <w:pPr>
              <w:snapToGrid w:val="0"/>
              <w:spacing w:before="120" w:beforeLines="50"/>
              <w:jc w:val="center"/>
              <w:rPr>
                <w:rFonts w:hint="eastAsia" w:ascii="宋体" w:hAnsi="宋体" w:cs="宋体"/>
                <w:sz w:val="24"/>
              </w:rPr>
            </w:pPr>
          </w:p>
        </w:tc>
      </w:tr>
      <w:tr w14:paraId="36E249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46" w:type="dxa"/>
            <w:tcBorders>
              <w:top w:val="single" w:color="auto" w:sz="4" w:space="0"/>
              <w:left w:val="single" w:color="auto" w:sz="4" w:space="0"/>
              <w:bottom w:val="single" w:color="auto" w:sz="4" w:space="0"/>
              <w:right w:val="single" w:color="auto" w:sz="4" w:space="0"/>
            </w:tcBorders>
            <w:vAlign w:val="center"/>
          </w:tcPr>
          <w:p w14:paraId="5E11839C">
            <w:pPr>
              <w:snapToGrid w:val="0"/>
              <w:spacing w:before="120" w:beforeLines="50"/>
              <w:jc w:val="center"/>
              <w:rPr>
                <w:rFonts w:hint="eastAsia" w:ascii="宋体" w:hAnsi="宋体" w:cs="宋体"/>
                <w:bCs/>
                <w:sz w:val="24"/>
              </w:rPr>
            </w:pPr>
            <w:r>
              <w:rPr>
                <w:rFonts w:hint="eastAsia" w:ascii="宋体" w:hAnsi="宋体" w:cs="宋体"/>
                <w:sz w:val="24"/>
              </w:rPr>
              <w:t>能力或业绩要求（如有）</w:t>
            </w:r>
          </w:p>
        </w:tc>
        <w:tc>
          <w:tcPr>
            <w:tcW w:w="2360" w:type="dxa"/>
            <w:tcBorders>
              <w:top w:val="single" w:color="auto" w:sz="4" w:space="0"/>
              <w:left w:val="single" w:color="auto" w:sz="4" w:space="0"/>
              <w:bottom w:val="single" w:color="auto" w:sz="4" w:space="0"/>
              <w:right w:val="single" w:color="auto" w:sz="4" w:space="0"/>
            </w:tcBorders>
            <w:vAlign w:val="center"/>
          </w:tcPr>
          <w:p w14:paraId="60F2DCE6">
            <w:pPr>
              <w:snapToGrid w:val="0"/>
              <w:spacing w:before="120" w:beforeLines="50"/>
              <w:jc w:val="center"/>
              <w:rPr>
                <w:rFonts w:hint="eastAsia" w:ascii="宋体" w:hAnsi="宋体" w:cs="宋体"/>
                <w:sz w:val="24"/>
              </w:rPr>
            </w:pPr>
          </w:p>
        </w:tc>
        <w:tc>
          <w:tcPr>
            <w:tcW w:w="1259" w:type="dxa"/>
            <w:tcBorders>
              <w:top w:val="single" w:color="auto" w:sz="4" w:space="0"/>
              <w:left w:val="single" w:color="auto" w:sz="4" w:space="0"/>
              <w:bottom w:val="single" w:color="auto" w:sz="4" w:space="0"/>
              <w:right w:val="single" w:color="auto" w:sz="4" w:space="0"/>
            </w:tcBorders>
            <w:vAlign w:val="center"/>
          </w:tcPr>
          <w:p w14:paraId="60114C9A">
            <w:pPr>
              <w:snapToGrid w:val="0"/>
              <w:spacing w:before="120" w:beforeLines="50"/>
              <w:jc w:val="center"/>
              <w:rPr>
                <w:rFonts w:hint="eastAsia" w:ascii="宋体" w:hAnsi="宋体" w:cs="宋体"/>
                <w:sz w:val="24"/>
              </w:rPr>
            </w:pPr>
          </w:p>
        </w:tc>
        <w:tc>
          <w:tcPr>
            <w:tcW w:w="3018" w:type="dxa"/>
            <w:tcBorders>
              <w:top w:val="single" w:color="auto" w:sz="4" w:space="0"/>
              <w:left w:val="single" w:color="auto" w:sz="4" w:space="0"/>
              <w:bottom w:val="single" w:color="auto" w:sz="4" w:space="0"/>
              <w:right w:val="single" w:color="auto" w:sz="4" w:space="0"/>
            </w:tcBorders>
            <w:vAlign w:val="center"/>
          </w:tcPr>
          <w:p w14:paraId="12B4A31D">
            <w:pPr>
              <w:snapToGrid w:val="0"/>
              <w:spacing w:before="120" w:beforeLines="50"/>
              <w:jc w:val="center"/>
              <w:rPr>
                <w:rFonts w:hint="eastAsia" w:ascii="宋体" w:hAnsi="宋体" w:cs="宋体"/>
                <w:sz w:val="24"/>
              </w:rPr>
            </w:pPr>
          </w:p>
        </w:tc>
      </w:tr>
    </w:tbl>
    <w:p w14:paraId="223CEFBD">
      <w:pPr>
        <w:pStyle w:val="11"/>
        <w:spacing w:line="300" w:lineRule="exact"/>
        <w:rPr>
          <w:rFonts w:hint="eastAsia" w:hAnsi="宋体" w:cs="宋体"/>
          <w:b/>
          <w:bCs/>
          <w:kern w:val="0"/>
          <w:sz w:val="24"/>
        </w:rPr>
      </w:pPr>
    </w:p>
    <w:p w14:paraId="16C5D910">
      <w:pPr>
        <w:pStyle w:val="11"/>
        <w:spacing w:line="360" w:lineRule="exact"/>
        <w:ind w:firstLine="482" w:firstLineChars="200"/>
        <w:rPr>
          <w:rFonts w:hint="eastAsia" w:hAnsi="宋体" w:cs="宋体"/>
        </w:rPr>
      </w:pPr>
      <w:r>
        <w:rPr>
          <w:rFonts w:hint="eastAsia" w:hAnsi="宋体" w:cs="宋体"/>
          <w:b/>
          <w:bCs/>
          <w:kern w:val="0"/>
          <w:sz w:val="24"/>
        </w:rPr>
        <w:t>注：1.</w:t>
      </w:r>
      <w:r>
        <w:rPr>
          <w:rFonts w:hint="eastAsia" w:hAnsi="宋体" w:cs="宋体"/>
          <w:b/>
          <w:sz w:val="24"/>
        </w:rPr>
        <w:t>此项材料必须</w:t>
      </w:r>
      <w:r>
        <w:rPr>
          <w:rFonts w:hint="eastAsia" w:hAnsi="宋体" w:cs="宋体"/>
          <w:b/>
          <w:bCs/>
          <w:sz w:val="24"/>
        </w:rPr>
        <w:t>以PDF格式上传。</w:t>
      </w:r>
    </w:p>
    <w:p w14:paraId="3F250584">
      <w:pPr>
        <w:ind w:firstLine="482" w:firstLineChars="200"/>
        <w:rPr>
          <w:rFonts w:hint="eastAsia" w:ascii="宋体" w:hAnsi="宋体" w:cs="宋体"/>
          <w:b/>
          <w:sz w:val="24"/>
        </w:rPr>
      </w:pPr>
      <w:r>
        <w:rPr>
          <w:rFonts w:hint="eastAsia" w:ascii="宋体" w:hAnsi="宋体" w:cs="宋体"/>
          <w:b/>
          <w:bCs/>
          <w:kern w:val="0"/>
          <w:sz w:val="24"/>
        </w:rPr>
        <w:t>2.</w:t>
      </w:r>
      <w:r>
        <w:rPr>
          <w:rFonts w:hint="eastAsia" w:ascii="宋体" w:hAnsi="宋体" w:cs="宋体"/>
          <w:b/>
          <w:sz w:val="24"/>
        </w:rPr>
        <w:t>应对照公开招标文件“第二章《采购需求》”中的商务要求内容，逐条说明所提供服务已对公开招标文件的商务条款做出了实质性的响应，并申明与商务条款的偏离说明。具体响应内容优于公开招标文件要求的请在“偏离说明”一栏填写“正偏离”，具体响应内容满足公开招标文件要求的填写“无偏离”，具体响应内容低于公开招标文件的填写“负偏离”；</w:t>
      </w:r>
    </w:p>
    <w:p w14:paraId="0A517678">
      <w:pPr>
        <w:widowControl/>
        <w:spacing w:line="300" w:lineRule="exact"/>
        <w:ind w:firstLine="482" w:firstLineChars="200"/>
        <w:rPr>
          <w:rFonts w:hint="eastAsia" w:ascii="宋体" w:hAnsi="宋体" w:cs="宋体"/>
          <w:sz w:val="24"/>
        </w:rPr>
      </w:pPr>
      <w:r>
        <w:rPr>
          <w:rFonts w:hint="eastAsia" w:ascii="宋体" w:hAnsi="宋体" w:cs="宋体"/>
          <w:b/>
          <w:bCs/>
          <w:kern w:val="0"/>
          <w:sz w:val="24"/>
        </w:rPr>
        <w:t>3.投标人就标记“▲”符号的实质性响应内容发生负偏离一项以上的，视为投标无效。</w:t>
      </w:r>
      <w:r>
        <w:rPr>
          <w:rFonts w:hint="eastAsia" w:ascii="宋体" w:hAnsi="宋体" w:cs="宋体"/>
          <w:sz w:val="24"/>
        </w:rPr>
        <w:t xml:space="preserve">                </w:t>
      </w:r>
    </w:p>
    <w:p w14:paraId="723A8114">
      <w:pPr>
        <w:spacing w:line="300" w:lineRule="exact"/>
        <w:jc w:val="center"/>
        <w:rPr>
          <w:rFonts w:hint="eastAsia" w:ascii="宋体" w:hAnsi="宋体" w:cs="宋体"/>
          <w:sz w:val="24"/>
        </w:rPr>
      </w:pPr>
    </w:p>
    <w:p w14:paraId="4976D1E7">
      <w:pPr>
        <w:spacing w:line="300" w:lineRule="exact"/>
        <w:jc w:val="center"/>
        <w:rPr>
          <w:rFonts w:hint="eastAsia" w:ascii="宋体" w:hAnsi="宋体" w:cs="宋体"/>
          <w:sz w:val="24"/>
        </w:rPr>
      </w:pPr>
      <w:r>
        <w:rPr>
          <w:rFonts w:hint="eastAsia" w:ascii="宋体" w:hAnsi="宋体" w:cs="宋体"/>
          <w:sz w:val="24"/>
        </w:rPr>
        <w:t xml:space="preserve">                      </w:t>
      </w:r>
    </w:p>
    <w:p w14:paraId="6E5F6BA6">
      <w:pPr>
        <w:wordWrap w:val="0"/>
        <w:snapToGrid w:val="0"/>
        <w:spacing w:before="120" w:beforeLines="50" w:line="300" w:lineRule="exact"/>
        <w:jc w:val="right"/>
        <w:rPr>
          <w:rFonts w:hint="eastAsia" w:ascii="宋体" w:hAnsi="宋体" w:cs="宋体"/>
          <w:sz w:val="24"/>
          <w:u w:val="single"/>
        </w:rPr>
      </w:pPr>
      <w:r>
        <w:rPr>
          <w:rFonts w:hint="eastAsia" w:ascii="宋体" w:hAnsi="宋体" w:cs="宋体"/>
          <w:sz w:val="24"/>
        </w:rPr>
        <w:t xml:space="preserve"> 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5DB1AC40">
      <w:pPr>
        <w:snapToGrid w:val="0"/>
        <w:spacing w:before="120" w:beforeLines="50" w:line="300" w:lineRule="exact"/>
        <w:ind w:firstLine="5520" w:firstLineChars="2300"/>
        <w:rPr>
          <w:rFonts w:hint="eastAsia" w:ascii="宋体" w:hAnsi="宋体" w:cs="宋体"/>
          <w:sz w:val="24"/>
        </w:rPr>
      </w:pPr>
      <w:r>
        <w:rPr>
          <w:rFonts w:hint="eastAsia" w:ascii="宋体" w:hAnsi="宋体" w:cs="宋体"/>
          <w:sz w:val="24"/>
        </w:rPr>
        <w:t xml:space="preserve">      </w:t>
      </w:r>
      <w:r>
        <w:rPr>
          <w:rFonts w:hint="eastAsia" w:ascii="宋体" w:hAnsi="宋体" w:cs="宋体"/>
          <w:szCs w:val="21"/>
        </w:rPr>
        <w:t>日期：       年   月   日</w:t>
      </w:r>
    </w:p>
    <w:p w14:paraId="0522B23E">
      <w:pPr>
        <w:snapToGrid w:val="0"/>
        <w:spacing w:before="50" w:line="400" w:lineRule="exact"/>
        <w:ind w:firstLine="111" w:firstLineChars="46"/>
        <w:jc w:val="left"/>
        <w:rPr>
          <w:rFonts w:hint="eastAsia" w:ascii="宋体" w:hAnsi="宋体" w:cs="宋体"/>
          <w:b/>
          <w:sz w:val="24"/>
        </w:rPr>
        <w:sectPr>
          <w:pgSz w:w="11906" w:h="16838"/>
          <w:pgMar w:top="1440" w:right="1247" w:bottom="1440" w:left="1361" w:header="851" w:footer="992" w:gutter="0"/>
          <w:cols w:space="720" w:num="1"/>
          <w:docGrid w:linePitch="312" w:charSpace="0"/>
        </w:sectPr>
      </w:pPr>
    </w:p>
    <w:p w14:paraId="581A55C9">
      <w:pPr>
        <w:snapToGrid w:val="0"/>
        <w:spacing w:before="50" w:line="400" w:lineRule="exact"/>
        <w:ind w:right="480"/>
        <w:rPr>
          <w:rFonts w:hint="eastAsia" w:ascii="宋体" w:hAnsi="宋体" w:cs="宋体"/>
          <w:b/>
          <w:bCs/>
          <w:sz w:val="24"/>
        </w:rPr>
      </w:pPr>
      <w:r>
        <w:rPr>
          <w:rFonts w:hint="eastAsia" w:ascii="宋体" w:hAnsi="宋体" w:cs="宋体"/>
          <w:b/>
          <w:bCs/>
          <w:sz w:val="24"/>
        </w:rPr>
        <w:t>（4）</w:t>
      </w:r>
      <w:r>
        <w:rPr>
          <w:rFonts w:hint="eastAsia" w:ascii="宋体" w:hAnsi="宋体" w:cs="宋体"/>
          <w:b/>
          <w:sz w:val="24"/>
        </w:rPr>
        <w:t>项目实施方案格式</w:t>
      </w:r>
      <w:r>
        <w:rPr>
          <w:rFonts w:hint="eastAsia" w:ascii="宋体" w:hAnsi="宋体" w:cs="宋体"/>
          <w:b/>
          <w:bCs/>
          <w:sz w:val="24"/>
        </w:rPr>
        <w:t>（如有）：</w:t>
      </w:r>
    </w:p>
    <w:p w14:paraId="0559D8D0">
      <w:pPr>
        <w:pStyle w:val="26"/>
        <w:rPr>
          <w:rFonts w:hint="eastAsia" w:ascii="宋体" w:hAnsi="宋体" w:cs="宋体"/>
        </w:rPr>
      </w:pPr>
    </w:p>
    <w:p w14:paraId="62DF6067">
      <w:pPr>
        <w:pStyle w:val="11"/>
        <w:spacing w:line="400" w:lineRule="exact"/>
        <w:ind w:firstLine="643" w:firstLineChars="200"/>
        <w:jc w:val="center"/>
        <w:rPr>
          <w:rFonts w:hint="eastAsia" w:hAnsi="宋体" w:cs="宋体"/>
          <w:b/>
          <w:sz w:val="32"/>
          <w:szCs w:val="32"/>
        </w:rPr>
      </w:pPr>
      <w:r>
        <w:rPr>
          <w:rFonts w:hint="eastAsia" w:hAnsi="宋体" w:cs="宋体"/>
          <w:b/>
          <w:sz w:val="32"/>
          <w:szCs w:val="32"/>
        </w:rPr>
        <w:t>项目实施方案</w:t>
      </w:r>
    </w:p>
    <w:p w14:paraId="2E823C24">
      <w:pPr>
        <w:pStyle w:val="11"/>
        <w:spacing w:line="400" w:lineRule="exact"/>
        <w:ind w:firstLine="480" w:firstLineChars="200"/>
        <w:rPr>
          <w:rFonts w:hint="eastAsia" w:hAnsi="宋体" w:cs="宋体"/>
          <w:sz w:val="24"/>
        </w:rPr>
      </w:pPr>
    </w:p>
    <w:p w14:paraId="5549FA0F">
      <w:pPr>
        <w:pStyle w:val="11"/>
        <w:spacing w:line="400" w:lineRule="exact"/>
        <w:ind w:firstLine="480" w:firstLineChars="200"/>
        <w:rPr>
          <w:rFonts w:hint="eastAsia" w:hAnsi="宋体" w:cs="宋体"/>
          <w:sz w:val="24"/>
        </w:rPr>
      </w:pPr>
      <w:r>
        <w:rPr>
          <w:rFonts w:hint="eastAsia" w:hAnsi="宋体" w:cs="宋体"/>
          <w:sz w:val="24"/>
        </w:rPr>
        <w:t>由投标人按第二章《采购需求》要求自行编写。</w:t>
      </w:r>
    </w:p>
    <w:p w14:paraId="120AE825">
      <w:pPr>
        <w:snapToGrid w:val="0"/>
        <w:spacing w:before="50" w:line="400" w:lineRule="exact"/>
        <w:ind w:firstLine="480" w:firstLineChars="200"/>
        <w:jc w:val="left"/>
        <w:rPr>
          <w:rFonts w:hint="eastAsia" w:ascii="宋体" w:hAnsi="宋体" w:cs="宋体"/>
          <w:sz w:val="24"/>
        </w:rPr>
      </w:pPr>
    </w:p>
    <w:p w14:paraId="47788CFC">
      <w:pPr>
        <w:snapToGrid w:val="0"/>
        <w:spacing w:before="50" w:line="400" w:lineRule="exact"/>
        <w:ind w:firstLine="480" w:firstLineChars="200"/>
        <w:jc w:val="left"/>
        <w:rPr>
          <w:rFonts w:hint="eastAsia" w:ascii="宋体" w:hAnsi="宋体" w:cs="宋体"/>
          <w:sz w:val="24"/>
        </w:rPr>
      </w:pPr>
      <w:r>
        <w:rPr>
          <w:rFonts w:hint="eastAsia" w:ascii="宋体" w:hAnsi="宋体" w:cs="宋体"/>
          <w:sz w:val="24"/>
        </w:rPr>
        <w:t>所列内容作为构成合同不可分割的部分，必须真实、诚信。</w:t>
      </w:r>
    </w:p>
    <w:p w14:paraId="76C58C91">
      <w:pPr>
        <w:pStyle w:val="26"/>
        <w:rPr>
          <w:rFonts w:hint="eastAsia" w:ascii="宋体" w:hAnsi="宋体" w:cs="宋体"/>
        </w:rPr>
      </w:pPr>
    </w:p>
    <w:p w14:paraId="13AE7B88">
      <w:pPr>
        <w:pStyle w:val="26"/>
        <w:rPr>
          <w:rFonts w:hint="eastAsia" w:ascii="宋体" w:hAnsi="宋体" w:cs="宋体"/>
        </w:rPr>
      </w:pPr>
    </w:p>
    <w:p w14:paraId="27C5D6C4">
      <w:pPr>
        <w:snapToGrid w:val="0"/>
        <w:spacing w:before="50" w:line="400" w:lineRule="exact"/>
        <w:ind w:firstLine="480"/>
        <w:jc w:val="left"/>
        <w:rPr>
          <w:rFonts w:hint="eastAsia" w:ascii="宋体" w:hAnsi="宋体" w:cs="宋体"/>
          <w:sz w:val="24"/>
        </w:rPr>
      </w:pPr>
      <w:r>
        <w:rPr>
          <w:rFonts w:hint="eastAsia" w:ascii="宋体" w:hAnsi="宋体" w:cs="宋体"/>
          <w:sz w:val="24"/>
        </w:rPr>
        <w:t xml:space="preserve">                                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6BCCE62E">
      <w:pPr>
        <w:snapToGrid w:val="0"/>
        <w:spacing w:before="50" w:line="400" w:lineRule="exact"/>
        <w:ind w:right="480"/>
        <w:jc w:val="right"/>
        <w:rPr>
          <w:rFonts w:hint="eastAsia" w:ascii="宋体" w:hAnsi="宋体" w:cs="宋体"/>
          <w:sz w:val="24"/>
        </w:rPr>
      </w:pPr>
    </w:p>
    <w:p w14:paraId="2EA76FC5">
      <w:pPr>
        <w:snapToGrid w:val="0"/>
        <w:spacing w:before="50" w:line="400" w:lineRule="exact"/>
        <w:ind w:right="480"/>
        <w:jc w:val="right"/>
        <w:rPr>
          <w:rFonts w:hint="eastAsia" w:ascii="宋体" w:hAnsi="宋体" w:cs="宋体"/>
          <w:sz w:val="24"/>
        </w:rPr>
      </w:pPr>
      <w:r>
        <w:rPr>
          <w:rFonts w:hint="eastAsia" w:ascii="宋体" w:hAnsi="宋体" w:cs="宋体"/>
          <w:sz w:val="24"/>
        </w:rPr>
        <w:t>日期：       年   月   日</w:t>
      </w:r>
    </w:p>
    <w:p w14:paraId="6877922F">
      <w:pPr>
        <w:snapToGrid w:val="0"/>
        <w:spacing w:before="50" w:line="400" w:lineRule="exact"/>
        <w:ind w:right="480"/>
        <w:rPr>
          <w:rFonts w:hint="eastAsia" w:ascii="宋体" w:hAnsi="宋体" w:cs="宋体"/>
          <w:sz w:val="24"/>
        </w:rPr>
      </w:pPr>
    </w:p>
    <w:p w14:paraId="4E300910">
      <w:pPr>
        <w:snapToGrid w:val="0"/>
        <w:spacing w:before="50" w:line="400" w:lineRule="exact"/>
        <w:ind w:right="48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（5）</w:t>
      </w:r>
      <w:r>
        <w:rPr>
          <w:rFonts w:hint="eastAsia" w:ascii="宋体" w:hAnsi="宋体" w:cs="宋体"/>
          <w:b/>
          <w:sz w:val="24"/>
        </w:rPr>
        <w:t>技术培训方案</w:t>
      </w:r>
      <w:r>
        <w:rPr>
          <w:rFonts w:hint="eastAsia" w:ascii="宋体" w:hAnsi="宋体" w:cs="宋体"/>
          <w:b/>
          <w:bCs/>
          <w:sz w:val="24"/>
        </w:rPr>
        <w:t>（如有）：</w:t>
      </w:r>
    </w:p>
    <w:p w14:paraId="23D88B8C">
      <w:pPr>
        <w:pStyle w:val="26"/>
        <w:rPr>
          <w:rFonts w:hint="eastAsia" w:ascii="宋体" w:hAnsi="宋体" w:cs="宋体"/>
        </w:rPr>
      </w:pPr>
    </w:p>
    <w:p w14:paraId="456E4071">
      <w:pPr>
        <w:snapToGrid w:val="0"/>
        <w:spacing w:before="50" w:line="400" w:lineRule="exact"/>
        <w:ind w:right="480"/>
        <w:jc w:val="center"/>
        <w:rPr>
          <w:rFonts w:hint="eastAsia" w:ascii="宋体" w:hAnsi="宋体" w:cs="宋体"/>
          <w:sz w:val="24"/>
        </w:rPr>
      </w:pPr>
      <w:r>
        <w:rPr>
          <w:rFonts w:hint="eastAsia" w:ascii="宋体" w:hAnsi="宋体" w:cs="宋体"/>
          <w:b/>
          <w:sz w:val="32"/>
          <w:szCs w:val="32"/>
        </w:rPr>
        <w:t>技术培训方案</w:t>
      </w:r>
    </w:p>
    <w:p w14:paraId="31AB0CF0">
      <w:pPr>
        <w:pStyle w:val="11"/>
        <w:spacing w:line="400" w:lineRule="exact"/>
        <w:ind w:firstLine="480" w:firstLineChars="200"/>
        <w:rPr>
          <w:rFonts w:hint="eastAsia" w:hAnsi="宋体" w:cs="宋体"/>
          <w:sz w:val="24"/>
        </w:rPr>
      </w:pPr>
    </w:p>
    <w:p w14:paraId="0A1C1D85">
      <w:pPr>
        <w:pStyle w:val="11"/>
        <w:spacing w:line="400" w:lineRule="exact"/>
        <w:ind w:firstLine="480" w:firstLineChars="200"/>
        <w:rPr>
          <w:rFonts w:hint="eastAsia" w:hAnsi="宋体" w:cs="宋体"/>
          <w:sz w:val="24"/>
        </w:rPr>
      </w:pPr>
      <w:r>
        <w:rPr>
          <w:rFonts w:hint="eastAsia" w:hAnsi="宋体" w:cs="宋体"/>
          <w:sz w:val="24"/>
        </w:rPr>
        <w:t>由投标人按第二章《采购需求》要求自行编写。</w:t>
      </w:r>
    </w:p>
    <w:p w14:paraId="73A531FC">
      <w:pPr>
        <w:snapToGrid w:val="0"/>
        <w:spacing w:before="50" w:line="400" w:lineRule="exact"/>
        <w:ind w:firstLine="480" w:firstLineChars="200"/>
        <w:jc w:val="left"/>
        <w:rPr>
          <w:rFonts w:hint="eastAsia" w:ascii="宋体" w:hAnsi="宋体" w:cs="宋体"/>
          <w:sz w:val="24"/>
        </w:rPr>
      </w:pPr>
      <w:r>
        <w:rPr>
          <w:rFonts w:hint="eastAsia" w:ascii="宋体" w:hAnsi="宋体" w:cs="宋体"/>
          <w:sz w:val="24"/>
        </w:rPr>
        <w:t>所列内容作为构成合同不可分割的部分，必须真实、诚信。</w:t>
      </w:r>
    </w:p>
    <w:p w14:paraId="237B7301">
      <w:pPr>
        <w:pStyle w:val="26"/>
        <w:rPr>
          <w:rFonts w:hint="eastAsia" w:ascii="宋体" w:hAnsi="宋体" w:cs="宋体"/>
        </w:rPr>
      </w:pPr>
    </w:p>
    <w:p w14:paraId="51F7BAEA">
      <w:pPr>
        <w:pStyle w:val="26"/>
        <w:rPr>
          <w:rFonts w:hint="eastAsia" w:ascii="宋体" w:hAnsi="宋体" w:cs="宋体"/>
        </w:rPr>
      </w:pPr>
    </w:p>
    <w:p w14:paraId="27CA7CC6">
      <w:pPr>
        <w:snapToGrid w:val="0"/>
        <w:spacing w:before="50" w:line="400" w:lineRule="exact"/>
        <w:ind w:firstLine="480"/>
        <w:jc w:val="left"/>
        <w:rPr>
          <w:rFonts w:hint="eastAsia" w:ascii="宋体" w:hAnsi="宋体" w:cs="宋体"/>
          <w:sz w:val="24"/>
        </w:rPr>
      </w:pPr>
      <w:r>
        <w:rPr>
          <w:rFonts w:hint="eastAsia" w:ascii="宋体" w:hAnsi="宋体" w:cs="宋体"/>
          <w:sz w:val="24"/>
        </w:rPr>
        <w:t xml:space="preserve">                                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1E2182A3">
      <w:pPr>
        <w:snapToGrid w:val="0"/>
        <w:spacing w:before="50" w:line="400" w:lineRule="exact"/>
        <w:ind w:right="480"/>
        <w:jc w:val="right"/>
        <w:rPr>
          <w:rFonts w:hint="eastAsia" w:ascii="宋体" w:hAnsi="宋体" w:cs="宋体"/>
          <w:sz w:val="24"/>
        </w:rPr>
      </w:pPr>
    </w:p>
    <w:p w14:paraId="069D5E5E">
      <w:pPr>
        <w:snapToGrid w:val="0"/>
        <w:spacing w:before="50" w:line="400" w:lineRule="exact"/>
        <w:ind w:right="480"/>
        <w:jc w:val="right"/>
        <w:rPr>
          <w:rFonts w:hint="eastAsia" w:ascii="宋体" w:hAnsi="宋体" w:cs="宋体"/>
          <w:sz w:val="24"/>
        </w:rPr>
      </w:pPr>
      <w:r>
        <w:rPr>
          <w:rFonts w:hint="eastAsia" w:ascii="宋体" w:hAnsi="宋体" w:cs="宋体"/>
          <w:sz w:val="24"/>
        </w:rPr>
        <w:t>日期：       年   月   日</w:t>
      </w:r>
    </w:p>
    <w:p w14:paraId="5E39E3A2">
      <w:pPr>
        <w:snapToGrid w:val="0"/>
        <w:spacing w:before="50" w:line="400" w:lineRule="exact"/>
        <w:ind w:right="480"/>
        <w:rPr>
          <w:rFonts w:hint="eastAsia" w:ascii="宋体" w:hAnsi="宋体" w:cs="宋体"/>
          <w:sz w:val="24"/>
        </w:rPr>
      </w:pPr>
    </w:p>
    <w:p w14:paraId="6DDEB37D">
      <w:pPr>
        <w:pStyle w:val="11"/>
        <w:spacing w:line="360" w:lineRule="exact"/>
        <w:ind w:firstLine="420" w:firstLineChars="200"/>
        <w:rPr>
          <w:rFonts w:hint="eastAsia" w:hAnsi="宋体" w:cs="宋体"/>
        </w:rPr>
      </w:pPr>
    </w:p>
    <w:p w14:paraId="1398A2FF">
      <w:pPr>
        <w:widowControl/>
        <w:jc w:val="left"/>
        <w:rPr>
          <w:rFonts w:hint="eastAsia" w:ascii="宋体" w:hAnsi="宋体" w:cs="宋体"/>
          <w:b/>
          <w:bCs/>
          <w:sz w:val="24"/>
          <w:szCs w:val="21"/>
        </w:rPr>
      </w:pPr>
      <w:r>
        <w:rPr>
          <w:rFonts w:hint="eastAsia" w:ascii="宋体" w:hAnsi="宋体" w:cs="宋体"/>
          <w:sz w:val="24"/>
        </w:rPr>
        <w:br w:type="page"/>
      </w:r>
    </w:p>
    <w:p w14:paraId="61B1C95B">
      <w:pPr>
        <w:snapToGrid w:val="0"/>
        <w:spacing w:before="50" w:line="400" w:lineRule="exact"/>
        <w:ind w:right="480"/>
        <w:rPr>
          <w:rFonts w:hint="eastAsia" w:ascii="宋体" w:hAnsi="宋体" w:cs="宋体"/>
          <w:b/>
          <w:bCs/>
          <w:sz w:val="24"/>
        </w:rPr>
      </w:pPr>
      <w:r>
        <w:rPr>
          <w:rFonts w:hint="eastAsia" w:ascii="宋体" w:hAnsi="宋体" w:cs="宋体"/>
          <w:b/>
          <w:bCs/>
          <w:sz w:val="24"/>
        </w:rPr>
        <w:t>（6）</w:t>
      </w:r>
      <w:r>
        <w:rPr>
          <w:rFonts w:hint="eastAsia" w:ascii="宋体" w:hAnsi="宋体" w:cs="宋体"/>
          <w:b/>
          <w:sz w:val="24"/>
        </w:rPr>
        <w:t>售后服务方案及承诺书</w:t>
      </w:r>
      <w:r>
        <w:rPr>
          <w:rFonts w:hint="eastAsia" w:ascii="宋体" w:hAnsi="宋体" w:cs="宋体"/>
          <w:b/>
          <w:bCs/>
          <w:sz w:val="24"/>
        </w:rPr>
        <w:t>格式（如有）：</w:t>
      </w:r>
    </w:p>
    <w:p w14:paraId="7C869527">
      <w:pPr>
        <w:pStyle w:val="26"/>
        <w:rPr>
          <w:rFonts w:hint="eastAsia" w:ascii="宋体" w:hAnsi="宋体" w:cs="宋体"/>
        </w:rPr>
      </w:pPr>
    </w:p>
    <w:p w14:paraId="5214E4FD">
      <w:pPr>
        <w:pStyle w:val="26"/>
        <w:jc w:val="center"/>
        <w:rPr>
          <w:rFonts w:hint="eastAsia" w:ascii="宋体" w:hAnsi="宋体" w:cs="宋体"/>
          <w:b/>
          <w:bCs w:val="0"/>
          <w:spacing w:val="0"/>
          <w:kern w:val="2"/>
          <w:sz w:val="32"/>
          <w:szCs w:val="32"/>
        </w:rPr>
      </w:pPr>
      <w:r>
        <w:rPr>
          <w:rFonts w:hint="eastAsia" w:ascii="宋体" w:hAnsi="宋体" w:cs="宋体"/>
          <w:b/>
          <w:sz w:val="32"/>
          <w:szCs w:val="32"/>
        </w:rPr>
        <w:t>售后服务</w:t>
      </w:r>
      <w:r>
        <w:rPr>
          <w:rFonts w:hint="eastAsia" w:ascii="宋体" w:hAnsi="宋体" w:cs="宋体"/>
          <w:b/>
          <w:bCs w:val="0"/>
          <w:spacing w:val="0"/>
          <w:kern w:val="2"/>
          <w:sz w:val="32"/>
          <w:szCs w:val="32"/>
        </w:rPr>
        <w:t>方案及承诺书</w:t>
      </w:r>
    </w:p>
    <w:p w14:paraId="06A1A670">
      <w:pPr>
        <w:snapToGrid w:val="0"/>
        <w:spacing w:before="50" w:line="400" w:lineRule="exact"/>
        <w:ind w:right="480"/>
        <w:jc w:val="right"/>
        <w:rPr>
          <w:rFonts w:hint="eastAsia" w:ascii="宋体" w:hAnsi="宋体" w:cs="宋体"/>
          <w:sz w:val="24"/>
        </w:rPr>
      </w:pPr>
    </w:p>
    <w:p w14:paraId="027AD914">
      <w:pPr>
        <w:spacing w:line="400" w:lineRule="exact"/>
        <w:ind w:firstLine="480" w:firstLineChars="200"/>
        <w:rPr>
          <w:rFonts w:hint="eastAsia" w:ascii="宋体" w:hAnsi="宋体" w:cs="宋体"/>
          <w:sz w:val="24"/>
        </w:rPr>
      </w:pPr>
    </w:p>
    <w:p w14:paraId="3DE68532">
      <w:pPr>
        <w:spacing w:line="400" w:lineRule="exact"/>
        <w:ind w:firstLine="480" w:firstLineChars="200"/>
        <w:rPr>
          <w:rFonts w:hint="eastAsia" w:ascii="宋体" w:hAnsi="宋体" w:cs="宋体"/>
          <w:sz w:val="24"/>
        </w:rPr>
      </w:pPr>
    </w:p>
    <w:p w14:paraId="4F909A18">
      <w:pPr>
        <w:spacing w:line="400" w:lineRule="exact"/>
        <w:ind w:firstLine="480" w:firstLineChars="200"/>
        <w:rPr>
          <w:rFonts w:hint="eastAsia" w:ascii="宋体" w:hAnsi="宋体" w:cs="宋体"/>
          <w:sz w:val="24"/>
        </w:rPr>
      </w:pPr>
    </w:p>
    <w:p w14:paraId="79746DC5">
      <w:pPr>
        <w:spacing w:line="400" w:lineRule="exact"/>
        <w:ind w:firstLine="480" w:firstLineChars="200"/>
        <w:rPr>
          <w:rFonts w:hint="eastAsia" w:ascii="宋体" w:hAnsi="宋体" w:cs="宋体"/>
          <w:sz w:val="24"/>
        </w:rPr>
      </w:pPr>
    </w:p>
    <w:p w14:paraId="02A423B8">
      <w:pPr>
        <w:snapToGrid w:val="0"/>
        <w:spacing w:before="50" w:line="400" w:lineRule="exact"/>
        <w:ind w:firstLine="480" w:firstLineChars="200"/>
        <w:jc w:val="left"/>
        <w:rPr>
          <w:rFonts w:hint="eastAsia" w:ascii="宋体" w:hAnsi="宋体" w:cs="宋体"/>
          <w:sz w:val="24"/>
        </w:rPr>
      </w:pPr>
    </w:p>
    <w:p w14:paraId="6DFAF4C6">
      <w:pPr>
        <w:pStyle w:val="26"/>
        <w:rPr>
          <w:rFonts w:hint="eastAsia" w:ascii="宋体" w:hAnsi="宋体" w:cs="宋体"/>
        </w:rPr>
      </w:pPr>
    </w:p>
    <w:p w14:paraId="4F8D5335">
      <w:pPr>
        <w:snapToGrid w:val="0"/>
        <w:spacing w:before="50" w:line="400" w:lineRule="exact"/>
        <w:ind w:firstLine="480"/>
        <w:jc w:val="left"/>
        <w:rPr>
          <w:rFonts w:hint="eastAsia" w:ascii="宋体" w:hAnsi="宋体" w:cs="宋体"/>
          <w:sz w:val="24"/>
        </w:rPr>
      </w:pPr>
      <w:r>
        <w:rPr>
          <w:rFonts w:hint="eastAsia" w:ascii="宋体" w:hAnsi="宋体" w:cs="宋体"/>
          <w:sz w:val="24"/>
        </w:rPr>
        <w:t xml:space="preserve">                               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p>
    <w:p w14:paraId="7BBDEBCC">
      <w:pPr>
        <w:snapToGrid w:val="0"/>
        <w:spacing w:before="50" w:line="400" w:lineRule="exact"/>
        <w:ind w:right="480"/>
        <w:jc w:val="right"/>
        <w:rPr>
          <w:rFonts w:hint="eastAsia" w:ascii="宋体" w:hAnsi="宋体" w:cs="宋体"/>
          <w:sz w:val="24"/>
        </w:rPr>
      </w:pPr>
    </w:p>
    <w:p w14:paraId="400BDF41">
      <w:pPr>
        <w:snapToGrid w:val="0"/>
        <w:spacing w:before="50" w:line="400" w:lineRule="exact"/>
        <w:ind w:right="480"/>
        <w:jc w:val="right"/>
        <w:rPr>
          <w:rFonts w:hint="eastAsia" w:ascii="宋体" w:hAnsi="宋体" w:cs="宋体"/>
          <w:sz w:val="24"/>
        </w:rPr>
      </w:pPr>
      <w:r>
        <w:rPr>
          <w:rFonts w:hint="eastAsia" w:ascii="宋体" w:hAnsi="宋体" w:cs="宋体"/>
          <w:sz w:val="24"/>
        </w:rPr>
        <w:t>日期：       年   月   日</w:t>
      </w:r>
    </w:p>
    <w:p w14:paraId="22809B0E">
      <w:pPr>
        <w:snapToGrid w:val="0"/>
        <w:spacing w:before="50" w:line="400" w:lineRule="exact"/>
        <w:ind w:right="480"/>
        <w:rPr>
          <w:rFonts w:hint="eastAsia" w:ascii="宋体" w:hAnsi="宋体" w:cs="宋体"/>
          <w:sz w:val="24"/>
        </w:rPr>
      </w:pPr>
    </w:p>
    <w:p w14:paraId="3AC924C7">
      <w:pPr>
        <w:pStyle w:val="11"/>
        <w:spacing w:line="360" w:lineRule="exact"/>
        <w:ind w:firstLine="420" w:firstLineChars="200"/>
        <w:rPr>
          <w:rFonts w:hint="eastAsia" w:hAnsi="宋体" w:cs="宋体"/>
        </w:rPr>
      </w:pPr>
    </w:p>
    <w:p w14:paraId="5194C514">
      <w:pPr>
        <w:pStyle w:val="11"/>
        <w:spacing w:line="360" w:lineRule="exact"/>
        <w:ind w:firstLine="480" w:firstLineChars="200"/>
        <w:rPr>
          <w:rFonts w:hint="eastAsia" w:hAnsi="宋体" w:cs="宋体"/>
        </w:rPr>
      </w:pPr>
      <w:r>
        <w:rPr>
          <w:rFonts w:hint="eastAsia" w:hAnsi="宋体" w:cs="宋体"/>
          <w:sz w:val="24"/>
        </w:rPr>
        <w:br w:type="page"/>
      </w:r>
    </w:p>
    <w:p w14:paraId="5359617D">
      <w:pPr>
        <w:snapToGrid w:val="0"/>
        <w:spacing w:before="50" w:line="400" w:lineRule="exact"/>
        <w:ind w:right="480"/>
        <w:rPr>
          <w:rFonts w:hint="eastAsia" w:ascii="宋体" w:hAnsi="宋体" w:cs="宋体"/>
          <w:b/>
          <w:bCs/>
          <w:sz w:val="24"/>
        </w:rPr>
      </w:pPr>
      <w:r>
        <w:rPr>
          <w:rFonts w:hint="eastAsia" w:ascii="宋体" w:hAnsi="宋体" w:cs="宋体"/>
          <w:b/>
          <w:bCs/>
          <w:sz w:val="24"/>
        </w:rPr>
        <w:t>（7）投标人同类项目经验一览表格式（如有）：</w:t>
      </w:r>
    </w:p>
    <w:p w14:paraId="26FDCE5B">
      <w:pPr>
        <w:snapToGrid w:val="0"/>
        <w:spacing w:before="50" w:line="400" w:lineRule="exact"/>
        <w:ind w:firstLine="643" w:firstLineChars="200"/>
        <w:jc w:val="center"/>
        <w:rPr>
          <w:rFonts w:hint="eastAsia" w:ascii="宋体" w:hAnsi="宋体" w:cs="宋体"/>
          <w:b/>
          <w:sz w:val="32"/>
          <w:szCs w:val="32"/>
        </w:rPr>
      </w:pPr>
    </w:p>
    <w:p w14:paraId="71E239A5">
      <w:pPr>
        <w:snapToGrid w:val="0"/>
        <w:spacing w:before="50" w:line="400" w:lineRule="exact"/>
        <w:ind w:firstLine="643" w:firstLineChars="200"/>
        <w:jc w:val="center"/>
        <w:rPr>
          <w:rFonts w:hint="eastAsia" w:ascii="宋体" w:hAnsi="宋体" w:cs="宋体"/>
          <w:b/>
          <w:sz w:val="32"/>
          <w:szCs w:val="32"/>
        </w:rPr>
      </w:pPr>
      <w:r>
        <w:rPr>
          <w:rFonts w:hint="eastAsia" w:ascii="宋体" w:hAnsi="宋体" w:cs="宋体"/>
          <w:b/>
          <w:sz w:val="32"/>
          <w:szCs w:val="32"/>
        </w:rPr>
        <w:t>投标人同类项目经验一览表</w:t>
      </w:r>
    </w:p>
    <w:p w14:paraId="0ECA5ED0">
      <w:pPr>
        <w:snapToGrid w:val="0"/>
        <w:spacing w:before="50" w:line="400" w:lineRule="exact"/>
        <w:ind w:firstLine="110" w:firstLineChars="46"/>
        <w:jc w:val="left"/>
        <w:rPr>
          <w:rFonts w:hint="eastAsia" w:ascii="宋体" w:hAnsi="宋体" w:cs="宋体"/>
          <w:bCs/>
          <w:sz w:val="24"/>
        </w:rPr>
      </w:pPr>
    </w:p>
    <w:tbl>
      <w:tblPr>
        <w:tblStyle w:val="17"/>
        <w:tblW w:w="96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7"/>
        <w:gridCol w:w="2366"/>
        <w:gridCol w:w="1345"/>
        <w:gridCol w:w="1011"/>
        <w:gridCol w:w="2102"/>
        <w:gridCol w:w="986"/>
      </w:tblGrid>
      <w:tr w14:paraId="223949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1867" w:type="dxa"/>
            <w:tcBorders>
              <w:top w:val="single" w:color="auto" w:sz="4" w:space="0"/>
              <w:left w:val="single" w:color="auto" w:sz="4" w:space="0"/>
              <w:bottom w:val="single" w:color="auto" w:sz="4" w:space="0"/>
              <w:right w:val="single" w:color="auto" w:sz="4" w:space="0"/>
            </w:tcBorders>
            <w:vAlign w:val="center"/>
          </w:tcPr>
          <w:p w14:paraId="04A40C63">
            <w:pPr>
              <w:snapToGrid w:val="0"/>
              <w:spacing w:line="360" w:lineRule="auto"/>
              <w:jc w:val="center"/>
              <w:rPr>
                <w:rFonts w:hint="eastAsia" w:ascii="宋体" w:hAnsi="宋体" w:cs="宋体"/>
                <w:sz w:val="24"/>
              </w:rPr>
            </w:pPr>
            <w:r>
              <w:rPr>
                <w:rFonts w:hint="eastAsia" w:ascii="宋体" w:hAnsi="宋体" w:cs="宋体"/>
                <w:sz w:val="24"/>
              </w:rPr>
              <w:t>采购单位名称</w:t>
            </w:r>
          </w:p>
        </w:tc>
        <w:tc>
          <w:tcPr>
            <w:tcW w:w="2366" w:type="dxa"/>
            <w:tcBorders>
              <w:top w:val="single" w:color="auto" w:sz="4" w:space="0"/>
              <w:left w:val="single" w:color="auto" w:sz="4" w:space="0"/>
              <w:bottom w:val="single" w:color="auto" w:sz="4" w:space="0"/>
              <w:right w:val="single" w:color="auto" w:sz="4" w:space="0"/>
            </w:tcBorders>
            <w:vAlign w:val="center"/>
          </w:tcPr>
          <w:p w14:paraId="247BD5A2">
            <w:pPr>
              <w:snapToGrid w:val="0"/>
              <w:spacing w:line="360" w:lineRule="auto"/>
              <w:jc w:val="center"/>
              <w:rPr>
                <w:rFonts w:hint="eastAsia" w:ascii="宋体" w:hAnsi="宋体" w:cs="宋体"/>
                <w:sz w:val="24"/>
              </w:rPr>
            </w:pPr>
            <w:r>
              <w:rPr>
                <w:rFonts w:hint="eastAsia" w:ascii="宋体" w:hAnsi="宋体" w:cs="宋体"/>
                <w:sz w:val="24"/>
              </w:rPr>
              <w:t>项目名称</w:t>
            </w:r>
          </w:p>
        </w:tc>
        <w:tc>
          <w:tcPr>
            <w:tcW w:w="1345" w:type="dxa"/>
            <w:tcBorders>
              <w:top w:val="single" w:color="auto" w:sz="4" w:space="0"/>
              <w:left w:val="single" w:color="auto" w:sz="4" w:space="0"/>
              <w:bottom w:val="single" w:color="auto" w:sz="4" w:space="0"/>
              <w:right w:val="single" w:color="auto" w:sz="4" w:space="0"/>
            </w:tcBorders>
            <w:vAlign w:val="center"/>
          </w:tcPr>
          <w:p w14:paraId="3DBF6D03">
            <w:pPr>
              <w:snapToGrid w:val="0"/>
              <w:spacing w:line="360" w:lineRule="auto"/>
              <w:jc w:val="center"/>
              <w:rPr>
                <w:rFonts w:hint="eastAsia" w:ascii="宋体" w:hAnsi="宋体" w:cs="宋体"/>
                <w:sz w:val="24"/>
              </w:rPr>
            </w:pPr>
            <w:r>
              <w:rPr>
                <w:rFonts w:hint="eastAsia" w:ascii="宋体" w:hAnsi="宋体" w:cs="宋体"/>
                <w:sz w:val="24"/>
              </w:rPr>
              <w:t>采购数量</w:t>
            </w:r>
          </w:p>
        </w:tc>
        <w:tc>
          <w:tcPr>
            <w:tcW w:w="1011" w:type="dxa"/>
            <w:tcBorders>
              <w:top w:val="single" w:color="auto" w:sz="4" w:space="0"/>
              <w:left w:val="single" w:color="auto" w:sz="4" w:space="0"/>
              <w:bottom w:val="single" w:color="auto" w:sz="4" w:space="0"/>
              <w:right w:val="single" w:color="auto" w:sz="4" w:space="0"/>
            </w:tcBorders>
            <w:vAlign w:val="center"/>
          </w:tcPr>
          <w:p w14:paraId="73C5D8AA">
            <w:pPr>
              <w:snapToGrid w:val="0"/>
              <w:spacing w:line="360" w:lineRule="auto"/>
              <w:jc w:val="center"/>
              <w:rPr>
                <w:rFonts w:hint="eastAsia" w:ascii="宋体" w:hAnsi="宋体" w:cs="宋体"/>
                <w:sz w:val="24"/>
              </w:rPr>
            </w:pPr>
            <w:r>
              <w:rPr>
                <w:rFonts w:hint="eastAsia" w:ascii="宋体" w:hAnsi="宋体" w:cs="宋体"/>
                <w:sz w:val="24"/>
              </w:rPr>
              <w:t>单价</w:t>
            </w:r>
          </w:p>
        </w:tc>
        <w:tc>
          <w:tcPr>
            <w:tcW w:w="2102" w:type="dxa"/>
            <w:tcBorders>
              <w:top w:val="single" w:color="auto" w:sz="4" w:space="0"/>
              <w:left w:val="single" w:color="auto" w:sz="4" w:space="0"/>
              <w:bottom w:val="single" w:color="auto" w:sz="4" w:space="0"/>
              <w:right w:val="single" w:color="auto" w:sz="4" w:space="0"/>
            </w:tcBorders>
            <w:vAlign w:val="center"/>
          </w:tcPr>
          <w:p w14:paraId="0815E407">
            <w:pPr>
              <w:snapToGrid w:val="0"/>
              <w:spacing w:line="360" w:lineRule="auto"/>
              <w:jc w:val="center"/>
              <w:rPr>
                <w:rFonts w:hint="eastAsia" w:ascii="宋体" w:hAnsi="宋体" w:cs="宋体"/>
                <w:sz w:val="24"/>
              </w:rPr>
            </w:pPr>
            <w:r>
              <w:rPr>
                <w:rFonts w:hint="eastAsia" w:ascii="宋体" w:hAnsi="宋体" w:cs="宋体"/>
                <w:sz w:val="24"/>
              </w:rPr>
              <w:t>合同金额</w:t>
            </w:r>
          </w:p>
          <w:p w14:paraId="4AD9942B">
            <w:pPr>
              <w:snapToGrid w:val="0"/>
              <w:spacing w:line="360" w:lineRule="auto"/>
              <w:jc w:val="center"/>
              <w:rPr>
                <w:rFonts w:hint="eastAsia" w:ascii="宋体" w:hAnsi="宋体" w:cs="宋体"/>
                <w:sz w:val="24"/>
              </w:rPr>
            </w:pPr>
            <w:r>
              <w:rPr>
                <w:rFonts w:hint="eastAsia" w:ascii="宋体" w:hAnsi="宋体" w:cs="宋体"/>
                <w:sz w:val="24"/>
              </w:rPr>
              <w:t>（万元）</w:t>
            </w:r>
          </w:p>
        </w:tc>
        <w:tc>
          <w:tcPr>
            <w:tcW w:w="986" w:type="dxa"/>
            <w:tcBorders>
              <w:top w:val="single" w:color="auto" w:sz="4" w:space="0"/>
              <w:left w:val="single" w:color="auto" w:sz="4" w:space="0"/>
              <w:bottom w:val="single" w:color="auto" w:sz="4" w:space="0"/>
              <w:right w:val="single" w:color="auto" w:sz="4" w:space="0"/>
            </w:tcBorders>
            <w:vAlign w:val="center"/>
          </w:tcPr>
          <w:p w14:paraId="1816153B">
            <w:pPr>
              <w:snapToGrid w:val="0"/>
              <w:spacing w:line="360" w:lineRule="auto"/>
              <w:jc w:val="center"/>
              <w:rPr>
                <w:rFonts w:hint="eastAsia" w:ascii="宋体" w:hAnsi="宋体" w:cs="宋体"/>
                <w:sz w:val="24"/>
              </w:rPr>
            </w:pPr>
            <w:r>
              <w:rPr>
                <w:rFonts w:hint="eastAsia" w:ascii="宋体" w:hAnsi="宋体" w:cs="宋体"/>
                <w:sz w:val="24"/>
              </w:rPr>
              <w:t>备注</w:t>
            </w:r>
          </w:p>
        </w:tc>
      </w:tr>
      <w:tr w14:paraId="2EED2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867" w:type="dxa"/>
            <w:tcBorders>
              <w:top w:val="single" w:color="auto" w:sz="4" w:space="0"/>
              <w:left w:val="single" w:color="auto" w:sz="4" w:space="0"/>
              <w:bottom w:val="single" w:color="auto" w:sz="4" w:space="0"/>
              <w:right w:val="single" w:color="auto" w:sz="4" w:space="0"/>
            </w:tcBorders>
          </w:tcPr>
          <w:p w14:paraId="0AC8A81B">
            <w:pPr>
              <w:snapToGrid w:val="0"/>
              <w:spacing w:line="240" w:lineRule="exact"/>
              <w:jc w:val="left"/>
              <w:rPr>
                <w:rFonts w:hint="eastAsia" w:ascii="宋体" w:hAnsi="宋体" w:cs="宋体"/>
                <w:sz w:val="24"/>
              </w:rPr>
            </w:pPr>
          </w:p>
        </w:tc>
        <w:tc>
          <w:tcPr>
            <w:tcW w:w="2366" w:type="dxa"/>
            <w:tcBorders>
              <w:top w:val="single" w:color="auto" w:sz="4" w:space="0"/>
              <w:left w:val="single" w:color="auto" w:sz="4" w:space="0"/>
              <w:bottom w:val="single" w:color="auto" w:sz="4" w:space="0"/>
              <w:right w:val="single" w:color="auto" w:sz="4" w:space="0"/>
            </w:tcBorders>
          </w:tcPr>
          <w:p w14:paraId="4EE5D884">
            <w:pPr>
              <w:snapToGrid w:val="0"/>
              <w:spacing w:line="240" w:lineRule="exact"/>
              <w:jc w:val="left"/>
              <w:rPr>
                <w:rFonts w:hint="eastAsia" w:ascii="宋体" w:hAnsi="宋体" w:cs="宋体"/>
                <w:sz w:val="24"/>
              </w:rPr>
            </w:pPr>
          </w:p>
        </w:tc>
        <w:tc>
          <w:tcPr>
            <w:tcW w:w="1345" w:type="dxa"/>
            <w:tcBorders>
              <w:top w:val="single" w:color="auto" w:sz="4" w:space="0"/>
              <w:left w:val="single" w:color="auto" w:sz="4" w:space="0"/>
              <w:bottom w:val="single" w:color="auto" w:sz="4" w:space="0"/>
              <w:right w:val="single" w:color="auto" w:sz="4" w:space="0"/>
            </w:tcBorders>
          </w:tcPr>
          <w:p w14:paraId="62B02F72">
            <w:pPr>
              <w:snapToGrid w:val="0"/>
              <w:spacing w:line="240" w:lineRule="exact"/>
              <w:jc w:val="left"/>
              <w:rPr>
                <w:rFonts w:hint="eastAsia" w:ascii="宋体" w:hAnsi="宋体" w:cs="宋体"/>
                <w:sz w:val="24"/>
              </w:rPr>
            </w:pPr>
          </w:p>
        </w:tc>
        <w:tc>
          <w:tcPr>
            <w:tcW w:w="1011" w:type="dxa"/>
            <w:tcBorders>
              <w:top w:val="single" w:color="auto" w:sz="4" w:space="0"/>
              <w:left w:val="single" w:color="auto" w:sz="4" w:space="0"/>
              <w:bottom w:val="single" w:color="auto" w:sz="4" w:space="0"/>
              <w:right w:val="single" w:color="auto" w:sz="4" w:space="0"/>
            </w:tcBorders>
          </w:tcPr>
          <w:p w14:paraId="1C190D0C">
            <w:pPr>
              <w:snapToGrid w:val="0"/>
              <w:spacing w:line="240" w:lineRule="exact"/>
              <w:jc w:val="left"/>
              <w:rPr>
                <w:rFonts w:hint="eastAsia" w:ascii="宋体" w:hAnsi="宋体" w:cs="宋体"/>
                <w:sz w:val="24"/>
              </w:rPr>
            </w:pPr>
          </w:p>
        </w:tc>
        <w:tc>
          <w:tcPr>
            <w:tcW w:w="2102" w:type="dxa"/>
            <w:tcBorders>
              <w:top w:val="single" w:color="auto" w:sz="4" w:space="0"/>
              <w:left w:val="single" w:color="auto" w:sz="4" w:space="0"/>
              <w:bottom w:val="single" w:color="auto" w:sz="4" w:space="0"/>
              <w:right w:val="single" w:color="auto" w:sz="4" w:space="0"/>
            </w:tcBorders>
          </w:tcPr>
          <w:p w14:paraId="081636AA">
            <w:pPr>
              <w:snapToGrid w:val="0"/>
              <w:spacing w:line="240" w:lineRule="exact"/>
              <w:jc w:val="left"/>
              <w:rPr>
                <w:rFonts w:hint="eastAsia" w:ascii="宋体" w:hAnsi="宋体" w:cs="宋体"/>
                <w:sz w:val="24"/>
              </w:rPr>
            </w:pPr>
          </w:p>
        </w:tc>
        <w:tc>
          <w:tcPr>
            <w:tcW w:w="986" w:type="dxa"/>
            <w:tcBorders>
              <w:top w:val="single" w:color="auto" w:sz="4" w:space="0"/>
              <w:left w:val="single" w:color="auto" w:sz="4" w:space="0"/>
              <w:bottom w:val="single" w:color="auto" w:sz="4" w:space="0"/>
              <w:right w:val="single" w:color="auto" w:sz="4" w:space="0"/>
            </w:tcBorders>
          </w:tcPr>
          <w:p w14:paraId="573BDF2A">
            <w:pPr>
              <w:snapToGrid w:val="0"/>
              <w:spacing w:line="240" w:lineRule="exact"/>
              <w:jc w:val="left"/>
              <w:rPr>
                <w:rFonts w:hint="eastAsia" w:ascii="宋体" w:hAnsi="宋体" w:cs="宋体"/>
                <w:sz w:val="24"/>
              </w:rPr>
            </w:pPr>
          </w:p>
        </w:tc>
      </w:tr>
      <w:tr w14:paraId="50DEAE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5BC071E6">
            <w:pPr>
              <w:snapToGrid w:val="0"/>
              <w:spacing w:before="50" w:after="120" w:afterLines="50" w:line="400" w:lineRule="exact"/>
              <w:jc w:val="left"/>
              <w:rPr>
                <w:rFonts w:hint="eastAsia" w:ascii="宋体" w:hAnsi="宋体" w:cs="宋体"/>
                <w:sz w:val="24"/>
              </w:rPr>
            </w:pPr>
          </w:p>
        </w:tc>
        <w:tc>
          <w:tcPr>
            <w:tcW w:w="2366" w:type="dxa"/>
            <w:tcBorders>
              <w:top w:val="single" w:color="auto" w:sz="4" w:space="0"/>
              <w:left w:val="single" w:color="auto" w:sz="4" w:space="0"/>
              <w:bottom w:val="single" w:color="auto" w:sz="4" w:space="0"/>
              <w:right w:val="single" w:color="auto" w:sz="4" w:space="0"/>
            </w:tcBorders>
          </w:tcPr>
          <w:p w14:paraId="00DE69B6">
            <w:pPr>
              <w:snapToGrid w:val="0"/>
              <w:spacing w:before="50" w:after="120" w:afterLines="50" w:line="400" w:lineRule="exact"/>
              <w:jc w:val="left"/>
              <w:rPr>
                <w:rFonts w:hint="eastAsia" w:ascii="宋体" w:hAnsi="宋体" w:cs="宋体"/>
                <w:sz w:val="24"/>
              </w:rPr>
            </w:pPr>
          </w:p>
        </w:tc>
        <w:tc>
          <w:tcPr>
            <w:tcW w:w="1345" w:type="dxa"/>
            <w:tcBorders>
              <w:top w:val="single" w:color="auto" w:sz="4" w:space="0"/>
              <w:left w:val="single" w:color="auto" w:sz="4" w:space="0"/>
              <w:bottom w:val="single" w:color="auto" w:sz="4" w:space="0"/>
              <w:right w:val="single" w:color="auto" w:sz="4" w:space="0"/>
            </w:tcBorders>
          </w:tcPr>
          <w:p w14:paraId="6F8A26D5">
            <w:pPr>
              <w:snapToGrid w:val="0"/>
              <w:spacing w:before="50" w:after="120" w:afterLines="50" w:line="400" w:lineRule="exact"/>
              <w:jc w:val="left"/>
              <w:rPr>
                <w:rFonts w:hint="eastAsia" w:ascii="宋体" w:hAnsi="宋体" w:cs="宋体"/>
                <w:sz w:val="24"/>
              </w:rPr>
            </w:pPr>
          </w:p>
        </w:tc>
        <w:tc>
          <w:tcPr>
            <w:tcW w:w="1011" w:type="dxa"/>
            <w:tcBorders>
              <w:top w:val="single" w:color="auto" w:sz="4" w:space="0"/>
              <w:left w:val="single" w:color="auto" w:sz="4" w:space="0"/>
              <w:bottom w:val="single" w:color="auto" w:sz="4" w:space="0"/>
              <w:right w:val="single" w:color="auto" w:sz="4" w:space="0"/>
            </w:tcBorders>
          </w:tcPr>
          <w:p w14:paraId="2200B0AB">
            <w:pPr>
              <w:snapToGrid w:val="0"/>
              <w:spacing w:before="50" w:after="120" w:afterLines="50" w:line="400" w:lineRule="exact"/>
              <w:jc w:val="left"/>
              <w:rPr>
                <w:rFonts w:hint="eastAsia" w:ascii="宋体" w:hAnsi="宋体" w:cs="宋体"/>
                <w:sz w:val="24"/>
              </w:rPr>
            </w:pPr>
          </w:p>
        </w:tc>
        <w:tc>
          <w:tcPr>
            <w:tcW w:w="2102" w:type="dxa"/>
            <w:tcBorders>
              <w:top w:val="single" w:color="auto" w:sz="4" w:space="0"/>
              <w:left w:val="single" w:color="auto" w:sz="4" w:space="0"/>
              <w:bottom w:val="single" w:color="auto" w:sz="4" w:space="0"/>
              <w:right w:val="single" w:color="auto" w:sz="4" w:space="0"/>
            </w:tcBorders>
          </w:tcPr>
          <w:p w14:paraId="0F8655BC">
            <w:pPr>
              <w:snapToGrid w:val="0"/>
              <w:spacing w:before="50" w:after="120" w:afterLines="50" w:line="400" w:lineRule="exact"/>
              <w:jc w:val="left"/>
              <w:rPr>
                <w:rFonts w:hint="eastAsia" w:ascii="宋体" w:hAnsi="宋体" w:cs="宋体"/>
                <w:sz w:val="24"/>
              </w:rPr>
            </w:pPr>
          </w:p>
        </w:tc>
        <w:tc>
          <w:tcPr>
            <w:tcW w:w="986" w:type="dxa"/>
            <w:tcBorders>
              <w:top w:val="single" w:color="auto" w:sz="4" w:space="0"/>
              <w:left w:val="single" w:color="auto" w:sz="4" w:space="0"/>
              <w:bottom w:val="single" w:color="auto" w:sz="4" w:space="0"/>
              <w:right w:val="single" w:color="auto" w:sz="4" w:space="0"/>
            </w:tcBorders>
          </w:tcPr>
          <w:p w14:paraId="2F93B6F5">
            <w:pPr>
              <w:snapToGrid w:val="0"/>
              <w:spacing w:before="50" w:after="120" w:afterLines="50" w:line="400" w:lineRule="exact"/>
              <w:jc w:val="left"/>
              <w:rPr>
                <w:rFonts w:hint="eastAsia" w:ascii="宋体" w:hAnsi="宋体" w:cs="宋体"/>
                <w:sz w:val="24"/>
              </w:rPr>
            </w:pPr>
          </w:p>
        </w:tc>
      </w:tr>
      <w:tr w14:paraId="0BEA7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867" w:type="dxa"/>
            <w:tcBorders>
              <w:top w:val="single" w:color="auto" w:sz="4" w:space="0"/>
              <w:left w:val="single" w:color="auto" w:sz="4" w:space="0"/>
              <w:bottom w:val="single" w:color="auto" w:sz="4" w:space="0"/>
              <w:right w:val="single" w:color="auto" w:sz="4" w:space="0"/>
            </w:tcBorders>
          </w:tcPr>
          <w:p w14:paraId="09DAE6A9">
            <w:pPr>
              <w:snapToGrid w:val="0"/>
              <w:spacing w:before="50" w:after="120" w:afterLines="50" w:line="400" w:lineRule="exact"/>
              <w:jc w:val="left"/>
              <w:rPr>
                <w:rFonts w:hint="eastAsia" w:ascii="宋体" w:hAnsi="宋体" w:cs="宋体"/>
                <w:sz w:val="24"/>
              </w:rPr>
            </w:pPr>
          </w:p>
        </w:tc>
        <w:tc>
          <w:tcPr>
            <w:tcW w:w="2366" w:type="dxa"/>
            <w:tcBorders>
              <w:top w:val="single" w:color="auto" w:sz="4" w:space="0"/>
              <w:left w:val="single" w:color="auto" w:sz="4" w:space="0"/>
              <w:bottom w:val="single" w:color="auto" w:sz="4" w:space="0"/>
              <w:right w:val="single" w:color="auto" w:sz="4" w:space="0"/>
            </w:tcBorders>
          </w:tcPr>
          <w:p w14:paraId="2DCFA4E8">
            <w:pPr>
              <w:snapToGrid w:val="0"/>
              <w:spacing w:before="50" w:after="120" w:afterLines="50" w:line="400" w:lineRule="exact"/>
              <w:jc w:val="left"/>
              <w:rPr>
                <w:rFonts w:hint="eastAsia" w:ascii="宋体" w:hAnsi="宋体" w:cs="宋体"/>
                <w:sz w:val="24"/>
              </w:rPr>
            </w:pPr>
          </w:p>
        </w:tc>
        <w:tc>
          <w:tcPr>
            <w:tcW w:w="1345" w:type="dxa"/>
            <w:tcBorders>
              <w:top w:val="single" w:color="auto" w:sz="4" w:space="0"/>
              <w:left w:val="single" w:color="auto" w:sz="4" w:space="0"/>
              <w:bottom w:val="single" w:color="auto" w:sz="4" w:space="0"/>
              <w:right w:val="single" w:color="auto" w:sz="4" w:space="0"/>
            </w:tcBorders>
          </w:tcPr>
          <w:p w14:paraId="11F62503">
            <w:pPr>
              <w:snapToGrid w:val="0"/>
              <w:spacing w:before="50" w:after="120" w:afterLines="50" w:line="400" w:lineRule="exact"/>
              <w:jc w:val="left"/>
              <w:rPr>
                <w:rFonts w:hint="eastAsia" w:ascii="宋体" w:hAnsi="宋体" w:cs="宋体"/>
                <w:sz w:val="24"/>
              </w:rPr>
            </w:pPr>
          </w:p>
        </w:tc>
        <w:tc>
          <w:tcPr>
            <w:tcW w:w="1011" w:type="dxa"/>
            <w:tcBorders>
              <w:top w:val="single" w:color="auto" w:sz="4" w:space="0"/>
              <w:left w:val="single" w:color="auto" w:sz="4" w:space="0"/>
              <w:bottom w:val="single" w:color="auto" w:sz="4" w:space="0"/>
              <w:right w:val="single" w:color="auto" w:sz="4" w:space="0"/>
            </w:tcBorders>
          </w:tcPr>
          <w:p w14:paraId="2AF69791">
            <w:pPr>
              <w:snapToGrid w:val="0"/>
              <w:spacing w:before="50" w:after="120" w:afterLines="50" w:line="400" w:lineRule="exact"/>
              <w:jc w:val="left"/>
              <w:rPr>
                <w:rFonts w:hint="eastAsia" w:ascii="宋体" w:hAnsi="宋体" w:cs="宋体"/>
                <w:sz w:val="24"/>
              </w:rPr>
            </w:pPr>
          </w:p>
        </w:tc>
        <w:tc>
          <w:tcPr>
            <w:tcW w:w="2102" w:type="dxa"/>
            <w:tcBorders>
              <w:top w:val="single" w:color="auto" w:sz="4" w:space="0"/>
              <w:left w:val="single" w:color="auto" w:sz="4" w:space="0"/>
              <w:bottom w:val="single" w:color="auto" w:sz="4" w:space="0"/>
              <w:right w:val="single" w:color="auto" w:sz="4" w:space="0"/>
            </w:tcBorders>
          </w:tcPr>
          <w:p w14:paraId="51216759">
            <w:pPr>
              <w:snapToGrid w:val="0"/>
              <w:spacing w:before="50" w:after="120" w:afterLines="50" w:line="400" w:lineRule="exact"/>
              <w:jc w:val="left"/>
              <w:rPr>
                <w:rFonts w:hint="eastAsia" w:ascii="宋体" w:hAnsi="宋体" w:cs="宋体"/>
                <w:sz w:val="24"/>
              </w:rPr>
            </w:pPr>
          </w:p>
        </w:tc>
        <w:tc>
          <w:tcPr>
            <w:tcW w:w="986" w:type="dxa"/>
            <w:tcBorders>
              <w:top w:val="single" w:color="auto" w:sz="4" w:space="0"/>
              <w:left w:val="single" w:color="auto" w:sz="4" w:space="0"/>
              <w:bottom w:val="single" w:color="auto" w:sz="4" w:space="0"/>
              <w:right w:val="single" w:color="auto" w:sz="4" w:space="0"/>
            </w:tcBorders>
          </w:tcPr>
          <w:p w14:paraId="09869ABA">
            <w:pPr>
              <w:snapToGrid w:val="0"/>
              <w:spacing w:before="50" w:after="120" w:afterLines="50" w:line="400" w:lineRule="exact"/>
              <w:jc w:val="left"/>
              <w:rPr>
                <w:rFonts w:hint="eastAsia" w:ascii="宋体" w:hAnsi="宋体" w:cs="宋体"/>
                <w:sz w:val="24"/>
              </w:rPr>
            </w:pPr>
          </w:p>
        </w:tc>
      </w:tr>
      <w:tr w14:paraId="32C0F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3D416314">
            <w:pPr>
              <w:snapToGrid w:val="0"/>
              <w:spacing w:before="50" w:after="120" w:afterLines="50" w:line="400" w:lineRule="exact"/>
              <w:jc w:val="left"/>
              <w:rPr>
                <w:rFonts w:hint="eastAsia" w:ascii="宋体" w:hAnsi="宋体" w:cs="宋体"/>
                <w:sz w:val="24"/>
              </w:rPr>
            </w:pPr>
          </w:p>
        </w:tc>
        <w:tc>
          <w:tcPr>
            <w:tcW w:w="2366" w:type="dxa"/>
            <w:tcBorders>
              <w:top w:val="single" w:color="auto" w:sz="4" w:space="0"/>
              <w:left w:val="single" w:color="auto" w:sz="4" w:space="0"/>
              <w:bottom w:val="single" w:color="auto" w:sz="4" w:space="0"/>
              <w:right w:val="single" w:color="auto" w:sz="4" w:space="0"/>
            </w:tcBorders>
          </w:tcPr>
          <w:p w14:paraId="1082C23F">
            <w:pPr>
              <w:snapToGrid w:val="0"/>
              <w:spacing w:before="50" w:after="120" w:afterLines="50" w:line="400" w:lineRule="exact"/>
              <w:jc w:val="left"/>
              <w:rPr>
                <w:rFonts w:hint="eastAsia" w:ascii="宋体" w:hAnsi="宋体" w:cs="宋体"/>
                <w:sz w:val="24"/>
              </w:rPr>
            </w:pPr>
          </w:p>
        </w:tc>
        <w:tc>
          <w:tcPr>
            <w:tcW w:w="1345" w:type="dxa"/>
            <w:tcBorders>
              <w:top w:val="single" w:color="auto" w:sz="4" w:space="0"/>
              <w:left w:val="single" w:color="auto" w:sz="4" w:space="0"/>
              <w:bottom w:val="single" w:color="auto" w:sz="4" w:space="0"/>
              <w:right w:val="single" w:color="auto" w:sz="4" w:space="0"/>
            </w:tcBorders>
          </w:tcPr>
          <w:p w14:paraId="0362A569">
            <w:pPr>
              <w:snapToGrid w:val="0"/>
              <w:spacing w:before="50" w:after="120" w:afterLines="50" w:line="400" w:lineRule="exact"/>
              <w:jc w:val="left"/>
              <w:rPr>
                <w:rFonts w:hint="eastAsia" w:ascii="宋体" w:hAnsi="宋体" w:cs="宋体"/>
                <w:sz w:val="24"/>
              </w:rPr>
            </w:pPr>
          </w:p>
        </w:tc>
        <w:tc>
          <w:tcPr>
            <w:tcW w:w="1011" w:type="dxa"/>
            <w:tcBorders>
              <w:top w:val="single" w:color="auto" w:sz="4" w:space="0"/>
              <w:left w:val="single" w:color="auto" w:sz="4" w:space="0"/>
              <w:bottom w:val="single" w:color="auto" w:sz="4" w:space="0"/>
              <w:right w:val="single" w:color="auto" w:sz="4" w:space="0"/>
            </w:tcBorders>
          </w:tcPr>
          <w:p w14:paraId="7A705B4C">
            <w:pPr>
              <w:snapToGrid w:val="0"/>
              <w:spacing w:before="50" w:after="120" w:afterLines="50" w:line="400" w:lineRule="exact"/>
              <w:jc w:val="left"/>
              <w:rPr>
                <w:rFonts w:hint="eastAsia" w:ascii="宋体" w:hAnsi="宋体" w:cs="宋体"/>
                <w:sz w:val="24"/>
              </w:rPr>
            </w:pPr>
          </w:p>
        </w:tc>
        <w:tc>
          <w:tcPr>
            <w:tcW w:w="2102" w:type="dxa"/>
            <w:tcBorders>
              <w:top w:val="single" w:color="auto" w:sz="4" w:space="0"/>
              <w:left w:val="single" w:color="auto" w:sz="4" w:space="0"/>
              <w:bottom w:val="single" w:color="auto" w:sz="4" w:space="0"/>
              <w:right w:val="single" w:color="auto" w:sz="4" w:space="0"/>
            </w:tcBorders>
          </w:tcPr>
          <w:p w14:paraId="436B6E9E">
            <w:pPr>
              <w:snapToGrid w:val="0"/>
              <w:spacing w:before="50" w:after="120" w:afterLines="50" w:line="400" w:lineRule="exact"/>
              <w:jc w:val="left"/>
              <w:rPr>
                <w:rFonts w:hint="eastAsia" w:ascii="宋体" w:hAnsi="宋体" w:cs="宋体"/>
                <w:sz w:val="24"/>
              </w:rPr>
            </w:pPr>
          </w:p>
        </w:tc>
        <w:tc>
          <w:tcPr>
            <w:tcW w:w="986" w:type="dxa"/>
            <w:tcBorders>
              <w:top w:val="single" w:color="auto" w:sz="4" w:space="0"/>
              <w:left w:val="single" w:color="auto" w:sz="4" w:space="0"/>
              <w:bottom w:val="single" w:color="auto" w:sz="4" w:space="0"/>
              <w:right w:val="single" w:color="auto" w:sz="4" w:space="0"/>
            </w:tcBorders>
          </w:tcPr>
          <w:p w14:paraId="0B7F6E8E">
            <w:pPr>
              <w:snapToGrid w:val="0"/>
              <w:spacing w:before="50" w:after="120" w:afterLines="50" w:line="400" w:lineRule="exact"/>
              <w:jc w:val="left"/>
              <w:rPr>
                <w:rFonts w:hint="eastAsia" w:ascii="宋体" w:hAnsi="宋体" w:cs="宋体"/>
                <w:sz w:val="24"/>
              </w:rPr>
            </w:pPr>
          </w:p>
        </w:tc>
      </w:tr>
      <w:tr w14:paraId="00F90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bottom w:val="single" w:color="auto" w:sz="4" w:space="0"/>
              <w:right w:val="single" w:color="auto" w:sz="4" w:space="0"/>
            </w:tcBorders>
          </w:tcPr>
          <w:p w14:paraId="2FFDD833">
            <w:pPr>
              <w:snapToGrid w:val="0"/>
              <w:spacing w:before="50" w:after="120" w:afterLines="50" w:line="400" w:lineRule="exact"/>
              <w:jc w:val="left"/>
              <w:rPr>
                <w:rFonts w:hint="eastAsia" w:ascii="宋体" w:hAnsi="宋体" w:cs="宋体"/>
                <w:sz w:val="24"/>
              </w:rPr>
            </w:pPr>
          </w:p>
        </w:tc>
        <w:tc>
          <w:tcPr>
            <w:tcW w:w="2366" w:type="dxa"/>
            <w:tcBorders>
              <w:top w:val="single" w:color="auto" w:sz="4" w:space="0"/>
              <w:left w:val="single" w:color="auto" w:sz="4" w:space="0"/>
              <w:bottom w:val="single" w:color="auto" w:sz="4" w:space="0"/>
              <w:right w:val="single" w:color="auto" w:sz="4" w:space="0"/>
            </w:tcBorders>
          </w:tcPr>
          <w:p w14:paraId="385BEE0D">
            <w:pPr>
              <w:snapToGrid w:val="0"/>
              <w:spacing w:before="50" w:after="120" w:afterLines="50" w:line="400" w:lineRule="exact"/>
              <w:jc w:val="left"/>
              <w:rPr>
                <w:rFonts w:hint="eastAsia" w:ascii="宋体" w:hAnsi="宋体" w:cs="宋体"/>
                <w:sz w:val="24"/>
              </w:rPr>
            </w:pPr>
          </w:p>
        </w:tc>
        <w:tc>
          <w:tcPr>
            <w:tcW w:w="1345" w:type="dxa"/>
            <w:tcBorders>
              <w:top w:val="single" w:color="auto" w:sz="4" w:space="0"/>
              <w:left w:val="single" w:color="auto" w:sz="4" w:space="0"/>
              <w:bottom w:val="single" w:color="auto" w:sz="4" w:space="0"/>
              <w:right w:val="single" w:color="auto" w:sz="4" w:space="0"/>
            </w:tcBorders>
          </w:tcPr>
          <w:p w14:paraId="39C8342D">
            <w:pPr>
              <w:snapToGrid w:val="0"/>
              <w:spacing w:before="50" w:after="120" w:afterLines="50" w:line="400" w:lineRule="exact"/>
              <w:jc w:val="left"/>
              <w:rPr>
                <w:rFonts w:hint="eastAsia" w:ascii="宋体" w:hAnsi="宋体" w:cs="宋体"/>
                <w:sz w:val="24"/>
              </w:rPr>
            </w:pPr>
          </w:p>
        </w:tc>
        <w:tc>
          <w:tcPr>
            <w:tcW w:w="1011" w:type="dxa"/>
            <w:tcBorders>
              <w:top w:val="single" w:color="auto" w:sz="4" w:space="0"/>
              <w:left w:val="single" w:color="auto" w:sz="4" w:space="0"/>
              <w:bottom w:val="single" w:color="auto" w:sz="4" w:space="0"/>
              <w:right w:val="single" w:color="auto" w:sz="4" w:space="0"/>
            </w:tcBorders>
          </w:tcPr>
          <w:p w14:paraId="508678D0">
            <w:pPr>
              <w:snapToGrid w:val="0"/>
              <w:spacing w:before="50" w:after="120" w:afterLines="50" w:line="400" w:lineRule="exact"/>
              <w:jc w:val="left"/>
              <w:rPr>
                <w:rFonts w:hint="eastAsia" w:ascii="宋体" w:hAnsi="宋体" w:cs="宋体"/>
                <w:sz w:val="24"/>
              </w:rPr>
            </w:pPr>
          </w:p>
        </w:tc>
        <w:tc>
          <w:tcPr>
            <w:tcW w:w="2102" w:type="dxa"/>
            <w:tcBorders>
              <w:top w:val="single" w:color="auto" w:sz="4" w:space="0"/>
              <w:left w:val="single" w:color="auto" w:sz="4" w:space="0"/>
              <w:bottom w:val="single" w:color="auto" w:sz="4" w:space="0"/>
              <w:right w:val="single" w:color="auto" w:sz="4" w:space="0"/>
            </w:tcBorders>
          </w:tcPr>
          <w:p w14:paraId="51D5B4EE">
            <w:pPr>
              <w:snapToGrid w:val="0"/>
              <w:spacing w:before="50" w:after="120" w:afterLines="50" w:line="400" w:lineRule="exact"/>
              <w:jc w:val="left"/>
              <w:rPr>
                <w:rFonts w:hint="eastAsia" w:ascii="宋体" w:hAnsi="宋体" w:cs="宋体"/>
                <w:sz w:val="24"/>
              </w:rPr>
            </w:pPr>
          </w:p>
        </w:tc>
        <w:tc>
          <w:tcPr>
            <w:tcW w:w="986" w:type="dxa"/>
            <w:tcBorders>
              <w:top w:val="single" w:color="auto" w:sz="4" w:space="0"/>
              <w:left w:val="single" w:color="auto" w:sz="4" w:space="0"/>
              <w:bottom w:val="single" w:color="auto" w:sz="4" w:space="0"/>
              <w:right w:val="single" w:color="auto" w:sz="4" w:space="0"/>
            </w:tcBorders>
          </w:tcPr>
          <w:p w14:paraId="0E8AE17C">
            <w:pPr>
              <w:snapToGrid w:val="0"/>
              <w:spacing w:before="50" w:after="120" w:afterLines="50" w:line="400" w:lineRule="exact"/>
              <w:jc w:val="left"/>
              <w:rPr>
                <w:rFonts w:hint="eastAsia" w:ascii="宋体" w:hAnsi="宋体" w:cs="宋体"/>
                <w:sz w:val="24"/>
              </w:rPr>
            </w:pPr>
          </w:p>
        </w:tc>
      </w:tr>
    </w:tbl>
    <w:p w14:paraId="6DD12647">
      <w:pPr>
        <w:snapToGrid w:val="0"/>
        <w:spacing w:before="120" w:beforeLines="50" w:after="50" w:line="400" w:lineRule="exact"/>
        <w:ind w:right="480" w:firstLine="5520" w:firstLineChars="2300"/>
        <w:jc w:val="center"/>
        <w:rPr>
          <w:rFonts w:hint="eastAsia" w:ascii="宋体" w:hAnsi="宋体" w:cs="宋体"/>
          <w:sz w:val="24"/>
        </w:rPr>
      </w:pPr>
      <w:r>
        <w:rPr>
          <w:rFonts w:hint="eastAsia" w:ascii="宋体" w:hAnsi="宋体" w:cs="宋体"/>
          <w:sz w:val="24"/>
        </w:rPr>
        <w:t xml:space="preserve">                          </w:t>
      </w:r>
    </w:p>
    <w:p w14:paraId="0BB66AA8">
      <w:pPr>
        <w:snapToGrid w:val="0"/>
        <w:spacing w:before="120" w:beforeLines="50" w:after="50" w:line="400" w:lineRule="exact"/>
        <w:ind w:right="480"/>
        <w:jc w:val="left"/>
        <w:rPr>
          <w:rFonts w:hint="eastAsia" w:ascii="宋体" w:hAnsi="宋体" w:cs="宋体"/>
          <w:sz w:val="24"/>
        </w:rPr>
      </w:pPr>
    </w:p>
    <w:p w14:paraId="70266D98">
      <w:pPr>
        <w:snapToGrid w:val="0"/>
        <w:spacing w:before="120" w:beforeLines="50" w:after="50" w:line="400" w:lineRule="exact"/>
        <w:ind w:right="480" w:firstLine="4560" w:firstLineChars="1900"/>
        <w:jc w:val="left"/>
        <w:rPr>
          <w:rFonts w:hint="eastAsia" w:ascii="宋体" w:hAnsi="宋体" w:cs="宋体"/>
          <w:sz w:val="24"/>
        </w:rPr>
      </w:pPr>
      <w:r>
        <w:rPr>
          <w:rFonts w:hint="eastAsia" w:ascii="宋体" w:hAnsi="宋体" w:cs="宋体"/>
          <w:sz w:val="24"/>
        </w:rPr>
        <w:t>投标人（</w:t>
      </w:r>
      <w:r>
        <w:rPr>
          <w:rFonts w:hint="eastAsia" w:ascii="宋体" w:hAnsi="宋体" w:cs="宋体"/>
          <w:b/>
          <w:bCs/>
          <w:sz w:val="24"/>
        </w:rPr>
        <w:t>CA电子签章</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                                                                                                            </w:t>
      </w:r>
    </w:p>
    <w:p w14:paraId="0D4753C3">
      <w:pPr>
        <w:snapToGrid w:val="0"/>
        <w:spacing w:before="50" w:line="400" w:lineRule="exact"/>
        <w:ind w:left="8160" w:hanging="8160" w:hangingChars="3400"/>
        <w:jc w:val="right"/>
        <w:rPr>
          <w:rFonts w:hint="eastAsia" w:ascii="宋体" w:hAnsi="宋体" w:cs="宋体"/>
          <w:szCs w:val="21"/>
        </w:rPr>
      </w:pPr>
      <w:r>
        <w:rPr>
          <w:rFonts w:hint="eastAsia" w:ascii="宋体" w:hAnsi="宋体" w:cs="宋体"/>
          <w:sz w:val="24"/>
        </w:rPr>
        <w:t xml:space="preserve"> </w:t>
      </w:r>
      <w:r>
        <w:rPr>
          <w:rFonts w:hint="eastAsia" w:ascii="宋体" w:hAnsi="宋体" w:cs="宋体"/>
          <w:szCs w:val="21"/>
        </w:rPr>
        <w:t>日期：       年   月   日</w:t>
      </w:r>
    </w:p>
    <w:p w14:paraId="046516EB">
      <w:pPr>
        <w:snapToGrid w:val="0"/>
        <w:spacing w:before="50" w:line="400" w:lineRule="exact"/>
        <w:ind w:left="7140" w:hanging="7140" w:hangingChars="3400"/>
        <w:jc w:val="right"/>
        <w:rPr>
          <w:rFonts w:hint="eastAsia" w:ascii="宋体" w:hAnsi="宋体" w:cs="宋体"/>
          <w:szCs w:val="21"/>
        </w:rPr>
      </w:pPr>
    </w:p>
    <w:p w14:paraId="3606E9C8">
      <w:pPr>
        <w:pStyle w:val="11"/>
        <w:spacing w:line="360" w:lineRule="exact"/>
        <w:ind w:firstLine="420" w:firstLineChars="200"/>
        <w:rPr>
          <w:rFonts w:hint="eastAsia" w:hAnsi="宋体" w:cs="宋体"/>
        </w:rPr>
        <w:sectPr>
          <w:footerReference r:id="rId8" w:type="default"/>
          <w:pgSz w:w="11906" w:h="16838"/>
          <w:pgMar w:top="1440" w:right="1440" w:bottom="1440" w:left="1440" w:header="851" w:footer="992" w:gutter="0"/>
          <w:cols w:space="720" w:num="1"/>
          <w:docGrid w:linePitch="312" w:charSpace="0"/>
        </w:sectPr>
      </w:pPr>
    </w:p>
    <w:p w14:paraId="14165F3A">
      <w:pPr>
        <w:pStyle w:val="5"/>
        <w:overflowPunct w:val="0"/>
        <w:spacing w:line="400" w:lineRule="exact"/>
        <w:ind w:left="0" w:firstLine="0"/>
        <w:rPr>
          <w:rFonts w:hint="eastAsia" w:hAnsi="宋体" w:cs="宋体"/>
          <w:bCs/>
          <w:sz w:val="24"/>
          <w:szCs w:val="24"/>
        </w:rPr>
      </w:pPr>
    </w:p>
    <w:p w14:paraId="394FEDEA">
      <w:pPr>
        <w:spacing w:line="360" w:lineRule="auto"/>
        <w:ind w:firstLine="480" w:firstLineChars="200"/>
        <w:rPr>
          <w:rFonts w:hint="eastAsia" w:ascii="宋体" w:hAnsi="宋体" w:cs="宋体"/>
        </w:rPr>
      </w:pPr>
      <w:r>
        <w:rPr>
          <w:rFonts w:hint="eastAsia" w:ascii="宋体" w:hAnsi="宋体" w:cs="宋体"/>
          <w:sz w:val="24"/>
        </w:rPr>
        <w:t>（8）拟投入服务团队人员一览表（如有，格式见第六章）；</w:t>
      </w:r>
    </w:p>
    <w:p w14:paraId="4A670C8A">
      <w:pPr>
        <w:spacing w:line="360" w:lineRule="auto"/>
        <w:ind w:firstLine="480" w:firstLineChars="200"/>
        <w:rPr>
          <w:rFonts w:hint="eastAsia" w:ascii="宋体" w:hAnsi="宋体" w:cs="宋体"/>
          <w:sz w:val="24"/>
        </w:rPr>
      </w:pPr>
      <w:r>
        <w:rPr>
          <w:rFonts w:hint="eastAsia" w:ascii="宋体" w:hAnsi="宋体" w:cs="宋体"/>
          <w:sz w:val="24"/>
        </w:rPr>
        <w:t>投标人自行根据项目安排相应的实施人员，格式自拟，如有证件，附上相关人员的从业资格证、执业证、毕业证等相关资料。</w:t>
      </w:r>
    </w:p>
    <w:p w14:paraId="6E58DE80">
      <w:pPr>
        <w:spacing w:line="360" w:lineRule="auto"/>
        <w:ind w:firstLine="480" w:firstLineChars="200"/>
        <w:rPr>
          <w:rFonts w:hint="eastAsia" w:ascii="宋体" w:hAnsi="宋体" w:cs="宋体"/>
          <w:sz w:val="24"/>
        </w:rPr>
      </w:pPr>
      <w:r>
        <w:rPr>
          <w:rFonts w:hint="eastAsia" w:ascii="宋体" w:hAnsi="宋体" w:cs="宋体"/>
          <w:sz w:val="24"/>
        </w:rPr>
        <w:t>（9）有效的管理体系认证证书（如有）；</w:t>
      </w:r>
    </w:p>
    <w:p w14:paraId="625CC291">
      <w:pPr>
        <w:spacing w:line="360" w:lineRule="auto"/>
        <w:ind w:firstLine="480" w:firstLineChars="200"/>
        <w:rPr>
          <w:rFonts w:hint="eastAsia" w:ascii="宋体" w:hAnsi="宋体" w:cs="宋体"/>
          <w:sz w:val="24"/>
        </w:rPr>
      </w:pPr>
      <w:r>
        <w:rPr>
          <w:rFonts w:hint="eastAsia" w:ascii="宋体" w:hAnsi="宋体" w:cs="宋体"/>
          <w:sz w:val="24"/>
        </w:rPr>
        <w:t>（10）投标产品为非政府强制采购节能产品，由国家确定的认证机构出具的、处于有效期之内的节能产品认证证书（如有）；</w:t>
      </w:r>
    </w:p>
    <w:p w14:paraId="1BA12E70">
      <w:pPr>
        <w:spacing w:line="360" w:lineRule="auto"/>
        <w:ind w:firstLine="480" w:firstLineChars="200"/>
        <w:rPr>
          <w:rFonts w:hint="eastAsia" w:ascii="宋体" w:hAnsi="宋体" w:cs="宋体"/>
        </w:rPr>
      </w:pPr>
      <w:r>
        <w:rPr>
          <w:rFonts w:hint="eastAsia" w:ascii="宋体" w:hAnsi="宋体" w:cs="宋体"/>
          <w:sz w:val="24"/>
        </w:rPr>
        <w:t>（11）投标人认为必要提供的声明及文件资料或招标文件第二章采购需求中要求提供的相关证明材料（如有）。</w:t>
      </w:r>
    </w:p>
    <w:p w14:paraId="117F3889">
      <w:pPr>
        <w:snapToGrid w:val="0"/>
        <w:spacing w:line="440" w:lineRule="exact"/>
        <w:ind w:firstLine="480" w:firstLineChars="200"/>
        <w:jc w:val="left"/>
        <w:rPr>
          <w:rFonts w:hint="eastAsia" w:ascii="宋体" w:hAnsi="宋体" w:cs="宋体"/>
          <w:sz w:val="24"/>
        </w:rPr>
      </w:pPr>
    </w:p>
    <w:p w14:paraId="58A89BF0">
      <w:pPr>
        <w:snapToGrid w:val="0"/>
        <w:spacing w:line="440" w:lineRule="exact"/>
        <w:jc w:val="left"/>
        <w:rPr>
          <w:rFonts w:hint="eastAsia" w:ascii="宋体" w:hAnsi="宋体" w:cs="宋体"/>
          <w:b/>
          <w:bCs/>
          <w:sz w:val="32"/>
          <w:szCs w:val="32"/>
        </w:rPr>
      </w:pPr>
    </w:p>
    <w:p w14:paraId="57731A8E">
      <w:pPr>
        <w:snapToGrid w:val="0"/>
        <w:spacing w:line="440" w:lineRule="exact"/>
        <w:jc w:val="left"/>
        <w:rPr>
          <w:rFonts w:hint="eastAsia" w:ascii="宋体" w:hAnsi="宋体" w:cs="宋体"/>
          <w:b/>
          <w:bCs/>
          <w:sz w:val="32"/>
          <w:szCs w:val="32"/>
        </w:rPr>
      </w:pPr>
    </w:p>
    <w:p w14:paraId="75CEA7A7">
      <w:pPr>
        <w:snapToGrid w:val="0"/>
        <w:spacing w:line="440" w:lineRule="exact"/>
        <w:jc w:val="left"/>
        <w:rPr>
          <w:rFonts w:hint="eastAsia" w:ascii="宋体" w:hAnsi="宋体" w:cs="宋体"/>
          <w:b/>
          <w:bCs/>
          <w:sz w:val="32"/>
          <w:szCs w:val="32"/>
        </w:rPr>
      </w:pPr>
    </w:p>
    <w:p w14:paraId="1402AB5B">
      <w:pPr>
        <w:snapToGrid w:val="0"/>
        <w:spacing w:line="440" w:lineRule="exact"/>
        <w:ind w:firstLine="602" w:firstLineChars="200"/>
        <w:jc w:val="left"/>
        <w:rPr>
          <w:rFonts w:hint="eastAsia" w:ascii="宋体" w:hAnsi="宋体" w:cs="宋体"/>
          <w:szCs w:val="21"/>
        </w:rPr>
      </w:pPr>
      <w:r>
        <w:rPr>
          <w:rFonts w:hint="eastAsia" w:ascii="宋体" w:hAnsi="宋体" w:cs="宋体"/>
          <w:b/>
          <w:bCs/>
          <w:sz w:val="30"/>
          <w:szCs w:val="30"/>
        </w:rPr>
        <w:t>注：第（4）项至第（11）项如有请提供，并加盖投标人CA电子签章。</w:t>
      </w:r>
    </w:p>
    <w:p w14:paraId="457474EF">
      <w:pPr>
        <w:pStyle w:val="15"/>
        <w:rPr>
          <w:rFonts w:hint="eastAsia" w:ascii="宋体" w:hAnsi="宋体" w:cs="宋体"/>
          <w:b/>
          <w:szCs w:val="21"/>
        </w:rPr>
      </w:pPr>
    </w:p>
    <w:p w14:paraId="1FB6DB7A">
      <w:pPr>
        <w:pStyle w:val="15"/>
        <w:rPr>
          <w:rFonts w:hint="eastAsia" w:ascii="宋体" w:hAnsi="宋体" w:cs="宋体"/>
          <w:b/>
          <w:szCs w:val="21"/>
        </w:rPr>
      </w:pPr>
    </w:p>
    <w:p w14:paraId="450EAB51">
      <w:pPr>
        <w:pStyle w:val="15"/>
        <w:rPr>
          <w:rFonts w:hint="eastAsia" w:ascii="宋体" w:hAnsi="宋体" w:cs="宋体"/>
          <w:b/>
          <w:szCs w:val="21"/>
        </w:rPr>
      </w:pPr>
    </w:p>
    <w:p w14:paraId="5ECF0DA7">
      <w:pPr>
        <w:pStyle w:val="15"/>
        <w:rPr>
          <w:rFonts w:hint="eastAsia" w:ascii="宋体" w:hAnsi="宋体" w:cs="宋体"/>
          <w:b/>
          <w:szCs w:val="21"/>
        </w:rPr>
      </w:pPr>
    </w:p>
    <w:p w14:paraId="484BA798">
      <w:pPr>
        <w:pStyle w:val="15"/>
        <w:rPr>
          <w:rFonts w:hint="eastAsia" w:ascii="宋体" w:hAnsi="宋体" w:cs="宋体"/>
          <w:b/>
          <w:szCs w:val="21"/>
        </w:rPr>
      </w:pPr>
    </w:p>
    <w:p w14:paraId="19694996">
      <w:pPr>
        <w:snapToGrid w:val="0"/>
        <w:spacing w:line="440" w:lineRule="exact"/>
        <w:jc w:val="left"/>
        <w:rPr>
          <w:rFonts w:hint="eastAsia" w:ascii="宋体" w:hAnsi="宋体" w:cs="宋体"/>
          <w:szCs w:val="21"/>
        </w:rPr>
      </w:pPr>
    </w:p>
    <w:p w14:paraId="05CE8B33">
      <w:pPr>
        <w:pStyle w:val="14"/>
        <w:tabs>
          <w:tab w:val="right" w:leader="dot" w:pos="9026"/>
        </w:tabs>
        <w:spacing w:line="540" w:lineRule="exact"/>
      </w:pPr>
    </w:p>
    <w:p w14:paraId="2D3414AC"/>
    <w:sectPr>
      <w:footerReference r:id="rId9"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大黑简体2.">
    <w:altName w:val="黑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F84E8">
    <w:pPr>
      <w:pStyle w:val="12"/>
      <w:tabs>
        <w:tab w:val="left" w:pos="6787"/>
        <w:tab w:val="center" w:pos="697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27260">
    <w:pPr>
      <w:pStyle w:val="12"/>
      <w:tabs>
        <w:tab w:val="left" w:pos="6787"/>
        <w:tab w:val="center" w:pos="6979"/>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695D8">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8695D8">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B14D6">
    <w:pPr>
      <w:pStyle w:val="12"/>
      <w:tabs>
        <w:tab w:val="left" w:pos="6787"/>
        <w:tab w:val="center" w:pos="6979"/>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F523B6">
                          <w:pPr>
                            <w:pStyle w:val="1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9F523B6">
                    <w:pPr>
                      <w:pStyle w:val="1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E6339">
    <w:pPr>
      <w:pStyle w:val="1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615835">
                          <w:pPr>
                            <w:pStyle w:val="1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2615835">
                    <w:pPr>
                      <w:pStyle w:val="1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8EBE">
    <w:pPr>
      <w:pStyle w:val="1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E9B899">
                          <w:pPr>
                            <w:pStyle w:val="1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4CE9B899">
                    <w:pPr>
                      <w:pStyle w:val="1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300A3">
    <w:pPr>
      <w:pStyle w:val="13"/>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D9285">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D493E"/>
    <w:multiLevelType w:val="singleLevel"/>
    <w:tmpl w:val="89DD493E"/>
    <w:lvl w:ilvl="0" w:tentative="0">
      <w:start w:val="6"/>
      <w:numFmt w:val="chineseCounting"/>
      <w:suff w:val="space"/>
      <w:lvlText w:val="第%1章"/>
      <w:lvlJc w:val="left"/>
      <w:rPr>
        <w:rFonts w:hint="eastAsia"/>
      </w:rPr>
    </w:lvl>
  </w:abstractNum>
  <w:abstractNum w:abstractNumId="1">
    <w:nsid w:val="96A9137B"/>
    <w:multiLevelType w:val="singleLevel"/>
    <w:tmpl w:val="96A9137B"/>
    <w:lvl w:ilvl="0" w:tentative="0">
      <w:start w:val="1"/>
      <w:numFmt w:val="decimal"/>
      <w:suff w:val="nothing"/>
      <w:lvlText w:val="%1．"/>
      <w:lvlJc w:val="left"/>
    </w:lvl>
  </w:abstractNum>
  <w:abstractNum w:abstractNumId="2">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3">
    <w:nsid w:val="31424DE4"/>
    <w:multiLevelType w:val="singleLevel"/>
    <w:tmpl w:val="31424DE4"/>
    <w:lvl w:ilvl="0" w:tentative="0">
      <w:start w:val="1"/>
      <w:numFmt w:val="chineseCounting"/>
      <w:suff w:val="nothing"/>
      <w:lvlText w:val="%1、"/>
      <w:lvlJc w:val="left"/>
      <w:rPr>
        <w:rFonts w:hint="eastAsia"/>
      </w:rPr>
    </w:lvl>
  </w:abstractNum>
  <w:abstractNum w:abstractNumId="4">
    <w:nsid w:val="6DF62B9F"/>
    <w:multiLevelType w:val="singleLevel"/>
    <w:tmpl w:val="6DF62B9F"/>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form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mQxMWEwM2E0YmVhMDNkODI3MDhhYTU2YzI5NjAifQ=="/>
  </w:docVars>
  <w:rsids>
    <w:rsidRoot w:val="363738B2"/>
    <w:rsid w:val="00BA3803"/>
    <w:rsid w:val="02CE3596"/>
    <w:rsid w:val="04CD7FA9"/>
    <w:rsid w:val="064C5349"/>
    <w:rsid w:val="074A3B33"/>
    <w:rsid w:val="0765096C"/>
    <w:rsid w:val="0882554E"/>
    <w:rsid w:val="0B8205BE"/>
    <w:rsid w:val="0B8909A2"/>
    <w:rsid w:val="0BD7170D"/>
    <w:rsid w:val="0D7C6A10"/>
    <w:rsid w:val="0E083E00"/>
    <w:rsid w:val="10E072B6"/>
    <w:rsid w:val="12103BCB"/>
    <w:rsid w:val="12266F4A"/>
    <w:rsid w:val="12843C71"/>
    <w:rsid w:val="129A5E76"/>
    <w:rsid w:val="15406575"/>
    <w:rsid w:val="16161084"/>
    <w:rsid w:val="16302145"/>
    <w:rsid w:val="166A7A0B"/>
    <w:rsid w:val="173E0892"/>
    <w:rsid w:val="187529D9"/>
    <w:rsid w:val="18D771F0"/>
    <w:rsid w:val="18FD242D"/>
    <w:rsid w:val="1AB33345"/>
    <w:rsid w:val="1C2A5889"/>
    <w:rsid w:val="1C44694B"/>
    <w:rsid w:val="1E2D1660"/>
    <w:rsid w:val="1E982F7E"/>
    <w:rsid w:val="1F022AED"/>
    <w:rsid w:val="1F2760B0"/>
    <w:rsid w:val="207B2B57"/>
    <w:rsid w:val="213D7E0C"/>
    <w:rsid w:val="237044C9"/>
    <w:rsid w:val="24E0567E"/>
    <w:rsid w:val="258B7398"/>
    <w:rsid w:val="259D70CC"/>
    <w:rsid w:val="277327DA"/>
    <w:rsid w:val="283C2BCC"/>
    <w:rsid w:val="2C11611D"/>
    <w:rsid w:val="2C2A6F85"/>
    <w:rsid w:val="2E232138"/>
    <w:rsid w:val="2F7610B9"/>
    <w:rsid w:val="301D1535"/>
    <w:rsid w:val="339729B4"/>
    <w:rsid w:val="35661288"/>
    <w:rsid w:val="35B00755"/>
    <w:rsid w:val="363738B2"/>
    <w:rsid w:val="36C4095C"/>
    <w:rsid w:val="376932B2"/>
    <w:rsid w:val="379540A7"/>
    <w:rsid w:val="38A722E3"/>
    <w:rsid w:val="38B4055C"/>
    <w:rsid w:val="398B39B3"/>
    <w:rsid w:val="3A1219DE"/>
    <w:rsid w:val="3B5F6EA5"/>
    <w:rsid w:val="3C2105FF"/>
    <w:rsid w:val="3CFC24D2"/>
    <w:rsid w:val="3D6A7D83"/>
    <w:rsid w:val="3DE418E4"/>
    <w:rsid w:val="3F161F71"/>
    <w:rsid w:val="3FCF3ECE"/>
    <w:rsid w:val="3FE07E89"/>
    <w:rsid w:val="40E13EB9"/>
    <w:rsid w:val="4476700E"/>
    <w:rsid w:val="455B692F"/>
    <w:rsid w:val="45C30031"/>
    <w:rsid w:val="46230DFA"/>
    <w:rsid w:val="478101A3"/>
    <w:rsid w:val="47B642F1"/>
    <w:rsid w:val="4B3D2633"/>
    <w:rsid w:val="4CB30DFF"/>
    <w:rsid w:val="4D4E28D6"/>
    <w:rsid w:val="4E796078"/>
    <w:rsid w:val="51F223CA"/>
    <w:rsid w:val="53620E89"/>
    <w:rsid w:val="53F817ED"/>
    <w:rsid w:val="543A0058"/>
    <w:rsid w:val="5495528E"/>
    <w:rsid w:val="568630E0"/>
    <w:rsid w:val="570C5CDB"/>
    <w:rsid w:val="579D6934"/>
    <w:rsid w:val="57A203EE"/>
    <w:rsid w:val="5A19426B"/>
    <w:rsid w:val="5AB04BD0"/>
    <w:rsid w:val="5AF96577"/>
    <w:rsid w:val="5B21787C"/>
    <w:rsid w:val="5BCA1CC1"/>
    <w:rsid w:val="5C447CC6"/>
    <w:rsid w:val="5C71213D"/>
    <w:rsid w:val="5CB564CD"/>
    <w:rsid w:val="5CF76AE6"/>
    <w:rsid w:val="5D144BCD"/>
    <w:rsid w:val="5D861C18"/>
    <w:rsid w:val="5DC355D4"/>
    <w:rsid w:val="5DF107EF"/>
    <w:rsid w:val="5E2E29DB"/>
    <w:rsid w:val="5E6301AB"/>
    <w:rsid w:val="5EB84053"/>
    <w:rsid w:val="5F047298"/>
    <w:rsid w:val="5FFC08B7"/>
    <w:rsid w:val="60762418"/>
    <w:rsid w:val="60B116A2"/>
    <w:rsid w:val="615D7134"/>
    <w:rsid w:val="622C5484"/>
    <w:rsid w:val="65091AAC"/>
    <w:rsid w:val="650C6EA7"/>
    <w:rsid w:val="69872FA0"/>
    <w:rsid w:val="69BD10B7"/>
    <w:rsid w:val="6A7A0D56"/>
    <w:rsid w:val="6B9419A4"/>
    <w:rsid w:val="6D0019E7"/>
    <w:rsid w:val="6E6E0BD2"/>
    <w:rsid w:val="6EEC2B30"/>
    <w:rsid w:val="6FA26D85"/>
    <w:rsid w:val="706109EE"/>
    <w:rsid w:val="72FD0776"/>
    <w:rsid w:val="74B310ED"/>
    <w:rsid w:val="762A1882"/>
    <w:rsid w:val="76397D18"/>
    <w:rsid w:val="76544B51"/>
    <w:rsid w:val="76AF3B36"/>
    <w:rsid w:val="77112A42"/>
    <w:rsid w:val="77B05DB7"/>
    <w:rsid w:val="786646C8"/>
    <w:rsid w:val="79A951B4"/>
    <w:rsid w:val="79B37DE1"/>
    <w:rsid w:val="79D02741"/>
    <w:rsid w:val="7A0348C4"/>
    <w:rsid w:val="7AC5601E"/>
    <w:rsid w:val="7C1F52BA"/>
    <w:rsid w:val="7C707B9F"/>
    <w:rsid w:val="7CA37C99"/>
    <w:rsid w:val="7CF404F4"/>
    <w:rsid w:val="7D580A83"/>
    <w:rsid w:val="7DDD542C"/>
    <w:rsid w:val="7F565496"/>
    <w:rsid w:val="7F625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index 8"/>
    <w:basedOn w:val="1"/>
    <w:next w:val="1"/>
    <w:qFormat/>
    <w:uiPriority w:val="0"/>
    <w:pPr>
      <w:ind w:left="2940"/>
    </w:pPr>
  </w:style>
  <w:style w:type="paragraph" w:styleId="5">
    <w:name w:val="Normal Indent"/>
    <w:basedOn w:val="1"/>
    <w:next w:val="6"/>
    <w:qFormat/>
    <w:uiPriority w:val="0"/>
    <w:pPr>
      <w:spacing w:line="240" w:lineRule="atLeast"/>
      <w:ind w:left="900" w:hanging="900"/>
      <w:jc w:val="left"/>
    </w:pPr>
    <w:rPr>
      <w:rFonts w:ascii="宋体"/>
      <w:snapToGrid w:val="0"/>
      <w:kern w:val="0"/>
      <w:sz w:val="20"/>
      <w:szCs w:val="20"/>
    </w:rPr>
  </w:style>
  <w:style w:type="paragraph" w:customStyle="1" w:styleId="6">
    <w:name w:val="_Style 50"/>
    <w:basedOn w:val="1"/>
    <w:next w:val="7"/>
    <w:qFormat/>
    <w:uiPriority w:val="0"/>
    <w:pPr>
      <w:widowControl/>
      <w:spacing w:before="100" w:beforeAutospacing="1" w:after="100" w:afterAutospacing="1"/>
    </w:pPr>
    <w:rPr>
      <w:rFonts w:ascii="宋体" w:hAnsi="宋体"/>
      <w:sz w:val="24"/>
    </w:rPr>
  </w:style>
  <w:style w:type="paragraph" w:styleId="7">
    <w:name w:val="Normal (Web)"/>
    <w:basedOn w:val="1"/>
    <w:next w:val="1"/>
    <w:qFormat/>
    <w:uiPriority w:val="0"/>
    <w:pPr>
      <w:widowControl/>
      <w:spacing w:before="100" w:beforeAutospacing="1" w:after="100" w:afterAutospacing="1"/>
      <w:jc w:val="left"/>
    </w:pPr>
    <w:rPr>
      <w:rFonts w:hint="eastAsia" w:ascii="宋体" w:hAnsi="宋体"/>
      <w:kern w:val="0"/>
      <w:sz w:val="24"/>
      <w:szCs w:val="20"/>
    </w:rPr>
  </w:style>
  <w:style w:type="paragraph" w:styleId="8">
    <w:name w:val="Body Text"/>
    <w:basedOn w:val="1"/>
    <w:next w:val="1"/>
    <w:unhideWhenUsed/>
    <w:qFormat/>
    <w:uiPriority w:val="99"/>
    <w:pPr>
      <w:spacing w:after="120"/>
    </w:pPr>
  </w:style>
  <w:style w:type="paragraph" w:styleId="9">
    <w:name w:val="Body Text Indent"/>
    <w:basedOn w:val="1"/>
    <w:next w:val="10"/>
    <w:qFormat/>
    <w:uiPriority w:val="0"/>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szCs w:val="20"/>
    </w:rPr>
  </w:style>
  <w:style w:type="paragraph" w:styleId="15">
    <w:name w:val="Body Text Indent 3"/>
    <w:basedOn w:val="1"/>
    <w:qFormat/>
    <w:uiPriority w:val="0"/>
    <w:pPr>
      <w:spacing w:after="120"/>
      <w:ind w:left="420" w:leftChars="200"/>
    </w:pPr>
    <w:rPr>
      <w:sz w:val="16"/>
      <w:szCs w:val="16"/>
    </w:rPr>
  </w:style>
  <w:style w:type="paragraph" w:styleId="16">
    <w:name w:val="Body Text First Indent 2"/>
    <w:basedOn w:val="9"/>
    <w:unhideWhenUsed/>
    <w:qFormat/>
    <w:uiPriority w:val="99"/>
    <w:pPr>
      <w:tabs>
        <w:tab w:val="left" w:pos="0"/>
      </w:tabs>
      <w:ind w:firstLine="420" w:firstLineChars="200"/>
    </w:pPr>
    <w:rPr>
      <w:spacing w:val="-4"/>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Strong"/>
    <w:basedOn w:val="19"/>
    <w:qFormat/>
    <w:uiPriority w:val="0"/>
    <w:rPr>
      <w:b/>
    </w:rPr>
  </w:style>
  <w:style w:type="character" w:styleId="21">
    <w:name w:val="HTML Sample"/>
    <w:basedOn w:val="19"/>
    <w:qFormat/>
    <w:uiPriority w:val="0"/>
    <w:rPr>
      <w:rFonts w:ascii="Courier New" w:hAnsi="Courier New"/>
    </w:rPr>
  </w:style>
  <w:style w:type="paragraph" w:customStyle="1" w:styleId="22">
    <w:name w:val="Default"/>
    <w:basedOn w:val="23"/>
    <w:qFormat/>
    <w:uiPriority w:val="0"/>
    <w:pPr>
      <w:widowControl w:val="0"/>
      <w:autoSpaceDE w:val="0"/>
      <w:autoSpaceDN w:val="0"/>
      <w:adjustRightInd w:val="0"/>
    </w:pPr>
    <w:rPr>
      <w:rFonts w:ascii="方正大黑简体2." w:hAnsi="Times New Roman" w:eastAsia="方正大黑简体2." w:cs="方正大黑简体2."/>
      <w:color w:val="000000"/>
      <w:sz w:val="24"/>
      <w:szCs w:val="24"/>
    </w:rPr>
  </w:style>
  <w:style w:type="paragraph" w:customStyle="1" w:styleId="23">
    <w:name w:val="正文1"/>
    <w:qFormat/>
    <w:uiPriority w:val="0"/>
    <w:pPr>
      <w:jc w:val="both"/>
    </w:pPr>
    <w:rPr>
      <w:rFonts w:ascii="Calibri" w:hAnsi="Calibri" w:eastAsia="宋体" w:cs="Times New Roman"/>
      <w:sz w:val="32"/>
      <w:szCs w:val="32"/>
      <w:lang w:val="en-US" w:eastAsia="zh-CN" w:bidi="ar-SA"/>
    </w:rPr>
  </w:style>
  <w:style w:type="paragraph" w:customStyle="1" w:styleId="24">
    <w:name w:val="Normal (Web)_file_872_file_882"/>
    <w:basedOn w:val="25"/>
    <w:semiHidden/>
    <w:unhideWhenUsed/>
    <w:qFormat/>
    <w:uiPriority w:val="99"/>
    <w:pPr>
      <w:spacing w:before="100" w:beforeAutospacing="1" w:after="100" w:afterAutospacing="1"/>
    </w:pPr>
  </w:style>
  <w:style w:type="paragraph" w:customStyle="1" w:styleId="25">
    <w:name w:val="Normal_file_872_file_882"/>
    <w:qFormat/>
    <w:uiPriority w:val="0"/>
    <w:rPr>
      <w:rFonts w:ascii="宋体" w:hAnsi="宋体" w:eastAsia="宋体" w:cs="宋体"/>
      <w:sz w:val="24"/>
      <w:szCs w:val="24"/>
      <w:lang w:val="en-US" w:eastAsia="zh-CN" w:bidi="ar-SA"/>
    </w:rPr>
  </w:style>
  <w:style w:type="paragraph" w:customStyle="1" w:styleId="26">
    <w:name w:val="表格文字"/>
    <w:basedOn w:val="1"/>
    <w:qFormat/>
    <w:uiPriority w:val="99"/>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66259</Words>
  <Characters>70751</Characters>
  <Lines>0</Lines>
  <Paragraphs>0</Paragraphs>
  <TotalTime>45</TotalTime>
  <ScaleCrop>false</ScaleCrop>
  <LinksUpToDate>false</LinksUpToDate>
  <CharactersWithSpaces>75498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2024-10-28T02:06:00Z</dcterms:created>
  <dc:creator>Administrator</dc:creator>
  <cp:lastModifiedBy>Administrator</cp:lastModifiedBy>
  <dcterms:modified xsi:type="dcterms:W3CDTF">2024-10-28T07:58:43Z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418AC85FA0D940FEB95EFDD44E1E16FF_13</vt:lpwstr>
  </property>
</Properties>
</file>