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185"/>
        <w:gridCol w:w="1105"/>
        <w:gridCol w:w="1355"/>
        <w:gridCol w:w="1410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8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1105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55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10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低温高速离心机</w:t>
            </w:r>
          </w:p>
        </w:tc>
        <w:tc>
          <w:tcPr>
            <w:tcW w:w="4185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55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表2低温高速离心机部分参数及相关情况表</w:t>
      </w:r>
    </w:p>
    <w:p w14:paraId="16D94AD9">
      <w:pPr>
        <w:spacing w:line="44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D1BD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05B52D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89D6E7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3C2897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4918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FB3E1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748972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最高转速不低于18,000rpm；最大离心力不低于30,000×g；最大容量：4x 400 mL；</w:t>
            </w:r>
          </w:p>
        </w:tc>
        <w:tc>
          <w:tcPr>
            <w:tcW w:w="3070" w:type="dxa"/>
            <w:vAlign w:val="center"/>
          </w:tcPr>
          <w:p w14:paraId="1170B7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0F6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5A3A9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27A2911D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温度范围：-10°C～ +40 °C；达到最高转速时，转子温度持续保持在4°C；</w:t>
            </w:r>
          </w:p>
        </w:tc>
        <w:tc>
          <w:tcPr>
            <w:tcW w:w="3070" w:type="dxa"/>
            <w:vAlign w:val="center"/>
          </w:tcPr>
          <w:p w14:paraId="6EE5FA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53E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BE5CF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872FECD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有待机制冷功能，确保离心前后和最大转速时，敏感样品都维持低温状态；</w:t>
            </w:r>
          </w:p>
        </w:tc>
        <w:tc>
          <w:tcPr>
            <w:tcW w:w="3070" w:type="dxa"/>
            <w:vAlign w:val="center"/>
          </w:tcPr>
          <w:p w14:paraId="243F9F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C6E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3B0B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552B8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 单独快速预冷按键，可快速预冷转子和离心机，从室温到4℃最快只需15分钟；</w:t>
            </w:r>
          </w:p>
        </w:tc>
        <w:tc>
          <w:tcPr>
            <w:tcW w:w="3070" w:type="dxa"/>
            <w:vAlign w:val="center"/>
          </w:tcPr>
          <w:p w14:paraId="1C87F1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7DF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7004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30C8B5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离心盖锁技术，轻松锁盖；离心结束后可自动开盖，开盖高度符合人体工程学设计；</w:t>
            </w:r>
          </w:p>
        </w:tc>
        <w:tc>
          <w:tcPr>
            <w:tcW w:w="3070" w:type="dxa"/>
            <w:vAlign w:val="center"/>
          </w:tcPr>
          <w:p w14:paraId="565EAE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518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5DC3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870E68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▲具有定速计时功能，可在达到预设转速时才开始计时，确保离心可重复性；</w:t>
            </w:r>
          </w:p>
        </w:tc>
        <w:tc>
          <w:tcPr>
            <w:tcW w:w="3070" w:type="dxa"/>
            <w:vAlign w:val="center"/>
          </w:tcPr>
          <w:p w14:paraId="135DB3B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479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A67BADE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C7C053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转子材料采用航空级别的铝合金，持久耐用，安全系数高；</w:t>
            </w:r>
          </w:p>
        </w:tc>
        <w:tc>
          <w:tcPr>
            <w:tcW w:w="3070" w:type="dxa"/>
            <w:vAlign w:val="center"/>
          </w:tcPr>
          <w:p w14:paraId="1C3EDE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A4279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506735D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49EF3E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 一个水平转子，一个角转子，至少配有15mL，50mL，400mL适配器。所有转子均可高温高压灭菌（121°C条件下≤20分钟）；</w:t>
            </w:r>
          </w:p>
        </w:tc>
        <w:tc>
          <w:tcPr>
            <w:tcW w:w="3070" w:type="dxa"/>
            <w:vAlign w:val="center"/>
          </w:tcPr>
          <w:p w14:paraId="0C79E7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2FCE4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39625F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7D9D69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触摸操作，有程序编辑、预约功能；</w:t>
            </w:r>
          </w:p>
        </w:tc>
        <w:tc>
          <w:tcPr>
            <w:tcW w:w="3070" w:type="dxa"/>
            <w:vAlign w:val="center"/>
          </w:tcPr>
          <w:p w14:paraId="1187AD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AD7E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7F957ED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956809E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待机与持续冷藏自由切换，待机模式下8 小时不使用后自动待机，节约能耗，延长压缩机使用寿命；开启持续冷藏后，确保离心前后，敏感样品都维持低温状态；</w:t>
            </w:r>
          </w:p>
        </w:tc>
        <w:tc>
          <w:tcPr>
            <w:tcW w:w="3070" w:type="dxa"/>
            <w:vAlign w:val="center"/>
          </w:tcPr>
          <w:p w14:paraId="37EF0B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268F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128C87F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5050110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一键锁参功能，有效防止离心参数被误改；</w:t>
            </w:r>
          </w:p>
        </w:tc>
        <w:tc>
          <w:tcPr>
            <w:tcW w:w="3070" w:type="dxa"/>
            <w:vAlign w:val="center"/>
          </w:tcPr>
          <w:p w14:paraId="20E88C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219E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BEE0C2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24451ADC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▲一个程序里可自定义至少10步不等速/不等时连续离心；</w:t>
            </w:r>
          </w:p>
        </w:tc>
        <w:tc>
          <w:tcPr>
            <w:tcW w:w="3070" w:type="dxa"/>
            <w:vAlign w:val="center"/>
          </w:tcPr>
          <w:p w14:paraId="3798072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B8F3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FD7C0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679A198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不少于9种转子可选，适用多种规格样品管离心；</w:t>
            </w:r>
          </w:p>
        </w:tc>
        <w:tc>
          <w:tcPr>
            <w:tcW w:w="3070" w:type="dxa"/>
            <w:vAlign w:val="center"/>
          </w:tcPr>
          <w:p w14:paraId="3B76294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7920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B9F6A8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3A13742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多重报警功能（转子不平衡，样品不平衡，温度过高预警等）最大程度保障实验人安全；</w:t>
            </w:r>
          </w:p>
        </w:tc>
        <w:tc>
          <w:tcPr>
            <w:tcW w:w="3070" w:type="dxa"/>
            <w:vAlign w:val="center"/>
          </w:tcPr>
          <w:p w14:paraId="4CBAE3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0BC2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11028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19C3613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具有紧急开锁装置；</w:t>
            </w:r>
          </w:p>
        </w:tc>
        <w:tc>
          <w:tcPr>
            <w:tcW w:w="3070" w:type="dxa"/>
            <w:vAlign w:val="center"/>
          </w:tcPr>
          <w:p w14:paraId="5D5D2B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F2A8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745ADC6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6645E72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▲配置清单：一个液氮罐（容量≥40L）；一台冷藏冰箱（有效容积≥310L，箱内控温范围2-8℃，产品具有医疗器械注册证，控温精度显示精度均为0.1℃）。</w:t>
            </w:r>
          </w:p>
        </w:tc>
        <w:tc>
          <w:tcPr>
            <w:tcW w:w="3070" w:type="dxa"/>
            <w:vAlign w:val="center"/>
          </w:tcPr>
          <w:p w14:paraId="619ED0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F661F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E69168F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2094413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0C47A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0D2968F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CC5079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BF36945">
      <w:pPr>
        <w:bidi w:val="0"/>
        <w:ind w:firstLine="2160" w:firstLineChars="900"/>
        <w:jc w:val="left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公司名称：</w:t>
      </w:r>
    </w:p>
    <w:p w14:paraId="655F1A01">
      <w:pPr>
        <w:bidi w:val="0"/>
        <w:ind w:firstLine="2160" w:firstLineChars="900"/>
        <w:jc w:val="left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</w:p>
    <w:p w14:paraId="771DB081">
      <w:pPr>
        <w:bidi w:val="0"/>
        <w:ind w:firstLine="2160" w:firstLineChars="900"/>
        <w:jc w:val="left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法定代表人或委托代理人签字：</w:t>
      </w:r>
    </w:p>
    <w:p w14:paraId="1CA04F92">
      <w:pPr>
        <w:bidi w:val="0"/>
        <w:ind w:firstLine="2160" w:firstLineChars="900"/>
        <w:jc w:val="left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</w:p>
    <w:p w14:paraId="39AEAF5D">
      <w:pPr>
        <w:bidi w:val="0"/>
        <w:ind w:firstLine="2160" w:firstLineChars="900"/>
        <w:jc w:val="left"/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日期：      年     月    日     </w:t>
      </w: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 xml:space="preserve"> </w:t>
      </w:r>
    </w:p>
    <w:p w14:paraId="359C4D78">
      <w:pPr>
        <w:bidi w:val="0"/>
        <w:ind w:left="0" w:leftChars="0" w:firstLine="6134" w:firstLineChars="2191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</w:p>
    <w:p w14:paraId="5C850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5" w:hanging="1481" w:hangingChars="529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填写说明：</w:t>
      </w:r>
    </w:p>
    <w:p w14:paraId="2968A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1、报价填报按人民币大小写规则填写，小写如小数点后无数值，填写至小数点后两位。</w:t>
      </w:r>
    </w:p>
    <w:p w14:paraId="74BC9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2、填写完毕后密封入信封，信封正面写公司简称、所投分标号（如有）后交回。</w:t>
      </w:r>
    </w:p>
    <w:p w14:paraId="7E6B7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eastAsiaTheme="minor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/>
          <w:b/>
          <w:sz w:val="24"/>
          <w:szCs w:val="24"/>
        </w:rPr>
        <w:t>参考：</w:t>
      </w:r>
      <w:r>
        <w:rPr>
          <w:rFonts w:hint="eastAsia" w:ascii="黑体" w:hAnsi="黑体" w:eastAsia="黑体" w:cs="黑体"/>
          <w:sz w:val="24"/>
          <w:szCs w:val="24"/>
        </w:rPr>
        <w:t>壹贰叁肆伍陆柒捌玖拾佰仟万元角分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44FE92D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7A68AE6">
      <w:pPr>
        <w:ind w:firstLine="3990" w:firstLineChars="1900"/>
      </w:pPr>
    </w:p>
    <w:p w14:paraId="3067104B">
      <w:pPr>
        <w:ind w:firstLine="3990" w:firstLineChars="19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29CB6FBF"/>
    <w:rsid w:val="35280B03"/>
    <w:rsid w:val="355E1AA4"/>
    <w:rsid w:val="50054A01"/>
    <w:rsid w:val="59746BF9"/>
    <w:rsid w:val="5B67085C"/>
    <w:rsid w:val="6D987032"/>
    <w:rsid w:val="75591025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1018</Characters>
  <Lines>0</Lines>
  <Paragraphs>0</Paragraphs>
  <TotalTime>3</TotalTime>
  <ScaleCrop>false</ScaleCrop>
  <LinksUpToDate>false</LinksUpToDate>
  <CharactersWithSpaces>1144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2024-09-30T09:22:21Z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