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肝功能储备分析仪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13" w:type="dxa"/>
            <w:gridSpan w:val="5"/>
            <w:noWrap/>
            <w:vAlign w:val="center"/>
          </w:tcPr>
          <w:p w14:paraId="697502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616" w:type="dxa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肝功能储备分析仪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69611D4F">
            <w:pPr>
              <w:spacing w:before="0" w:after="0" w:line="360" w:lineRule="auto"/>
              <w:ind w:right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auto"/>
                <w:spacing w:val="0"/>
                <w:position w:val="0"/>
                <w:sz w:val="24"/>
                <w:shd w:val="clear" w:fill="auto"/>
              </w:rPr>
              <w:t>采购设备总体要求：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可以量化评估肝储备功能。</w:t>
            </w:r>
          </w:p>
          <w:p w14:paraId="4D124A92">
            <w:pPr>
              <w:numPr>
                <w:ilvl w:val="0"/>
                <w:numId w:val="0"/>
              </w:numPr>
              <w:spacing w:before="0" w:after="0" w:line="360" w:lineRule="auto"/>
              <w:ind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可检测的技术指标至少含：药物血浆清除率、药物15分钟滞留率、有效肝脏血流量、平均循环时间。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29876936">
            <w:pPr>
              <w:spacing w:before="0" w:after="0"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▲与市场同类主流产品对比研究结果药物15分钟滞留率一致性≥99%。（请提供对比研究文献或者临床试验报告）。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5B62995C">
            <w:pPr>
              <w:spacing w:before="0" w:after="0" w:line="36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输入身高体重，设备可自动计算用药量，无需操作人员自己计算，避免人为原因的错误。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0C1B55F1">
            <w:pPr>
              <w:spacing w:before="0" w:after="0" w:line="36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检测过程中具备安全提示监测指标：血氧饱和度（SpO2）。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39FFB10">
            <w:pPr>
              <w:spacing w:before="0" w:after="0" w:line="36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▲检测药物浓度变化的探头检测部位在鼻翼部或腹部，无需粘贴遮光，自动校正，操作简便。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480588C0">
            <w:pPr>
              <w:spacing w:before="0" w:after="0" w:line="36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 xml:space="preserve"> 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～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7分钟（含）内获得检测结果。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435F9EE8">
            <w:pPr>
              <w:spacing w:before="0" w:after="0" w:line="36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▲药物浓度测量范围：0—20mg/L，测量精度：± 0.35 mg/L。（请提供产品说明书或检验报告）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9E46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▲分析仪主机内具有内置电源，电压≥6V，功率≥4Ah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042075A8">
            <w:pPr>
              <w:spacing w:before="0" w:after="0" w:line="36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设备具有独立的主机，主机非工控显示一体机，且能从产品的医疗器械注册证上的结构及组成上显示。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31E65EFA">
            <w:pPr>
              <w:spacing w:before="0" w:after="0" w:line="36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1"/>
                <w:shd w:val="clear" w:fill="auto"/>
              </w:rPr>
              <w:t>★</w:t>
            </w: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设备主机重量≤5kg，有把手，可便携，便于术中或会诊使用。（请提供产品说明书或技术要求中的产品图片）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3E5AFE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具备输出检测报告设备，结果可长期保存。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pacing w:val="0"/>
                <w:position w:val="0"/>
                <w:sz w:val="24"/>
                <w:shd w:val="clear" w:fill="auto"/>
              </w:rPr>
              <w:t>中文软件界面，操作简单，可以批量导入检测信息，选定目标受试者，一键开始，一键结束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B535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E2633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20C373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4FA09BFB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19508369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F24A89-F2B2-4AE3-B1F8-0AE726FAFA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16F4BD-0EDB-404E-BDA1-B455889EF3D0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AE5A0008-38AC-45F1-A2C8-DC6D92C2A61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6EE396B-FA79-4A6D-925F-71104A23960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0B641B66-EAAE-464D-8565-A59C0EB82D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4FD0683"/>
    <w:rsid w:val="0C580A93"/>
    <w:rsid w:val="1338079E"/>
    <w:rsid w:val="1ACA07D0"/>
    <w:rsid w:val="20225A33"/>
    <w:rsid w:val="29CB6FBF"/>
    <w:rsid w:val="2D360D42"/>
    <w:rsid w:val="307A1AE5"/>
    <w:rsid w:val="35280B03"/>
    <w:rsid w:val="3F0C7BFD"/>
    <w:rsid w:val="51E7689A"/>
    <w:rsid w:val="59746BF9"/>
    <w:rsid w:val="597E746C"/>
    <w:rsid w:val="5B67085C"/>
    <w:rsid w:val="5D0C499F"/>
    <w:rsid w:val="61263164"/>
    <w:rsid w:val="768537CB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797</Characters>
  <Lines>0</Lines>
  <Paragraphs>0</Paragraphs>
  <TotalTime>4</TotalTime>
  <ScaleCrop>false</ScaleCrop>
  <LinksUpToDate>false</LinksUpToDate>
  <CharactersWithSpaces>939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2024-10-19T01:54:35Z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FBDE97BCC13B4C5CB6BE5E18E6D298D3_11</vt:lpwstr>
  </property>
</Properties>
</file>